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B63B8" w14:textId="77777777" w:rsidR="00CE2B03" w:rsidRDefault="00CE2B03">
      <w:pPr>
        <w:rPr>
          <w:rFonts w:ascii="Arial" w:hAnsi="Arial" w:cs="Arial"/>
          <w:color w:val="000000"/>
          <w:lang w:val="es-MX"/>
        </w:rPr>
      </w:pPr>
      <w:bookmarkStart w:id="0" w:name="_GoBack"/>
      <w:r w:rsidRPr="00CE2B03">
        <w:rPr>
          <w:rFonts w:ascii="Arial" w:hAnsi="Arial" w:cs="Arial"/>
          <w:color w:val="000000"/>
          <w:lang w:val="es-MX"/>
        </w:rPr>
        <w:drawing>
          <wp:anchor distT="0" distB="0" distL="114300" distR="114300" simplePos="0" relativeHeight="251660288" behindDoc="1" locked="0" layoutInCell="1" allowOverlap="1" wp14:anchorId="1896F211" wp14:editId="71D13C4E">
            <wp:simplePos x="0" y="0"/>
            <wp:positionH relativeFrom="column">
              <wp:posOffset>-1143000</wp:posOffset>
            </wp:positionH>
            <wp:positionV relativeFrom="paragraph">
              <wp:posOffset>-1028700</wp:posOffset>
            </wp:positionV>
            <wp:extent cx="7886700" cy="10304352"/>
            <wp:effectExtent l="0" t="0" r="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6700" cy="1030435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Arial" w:hAnsi="Arial" w:cs="Arial"/>
          <w:color w:val="000000"/>
          <w:lang w:val="es-MX"/>
        </w:rPr>
        <w:br w:type="page"/>
      </w:r>
    </w:p>
    <w:p w14:paraId="34DD760B" w14:textId="77777777" w:rsidR="006850A7" w:rsidRPr="00EE3D8E" w:rsidRDefault="006850A7" w:rsidP="006850A7">
      <w:pPr>
        <w:jc w:val="center"/>
        <w:rPr>
          <w:rFonts w:ascii="Times" w:hAnsi="Times" w:cs="Times New Roman"/>
          <w:sz w:val="20"/>
          <w:szCs w:val="20"/>
          <w:lang w:val="es-MX"/>
        </w:rPr>
      </w:pPr>
      <w:r w:rsidRPr="00EE3D8E">
        <w:rPr>
          <w:rFonts w:ascii="Arial" w:hAnsi="Arial" w:cs="Arial"/>
          <w:color w:val="000000"/>
          <w:lang w:val="es-MX"/>
        </w:rPr>
        <w:lastRenderedPageBreak/>
        <w:t>FORMATO PARA LA ACTIVIDAD</w:t>
      </w:r>
    </w:p>
    <w:p w14:paraId="2F064290" w14:textId="77777777" w:rsidR="006850A7" w:rsidRPr="00EE3D8E" w:rsidRDefault="006850A7" w:rsidP="006850A7">
      <w:pPr>
        <w:jc w:val="center"/>
        <w:rPr>
          <w:rFonts w:ascii="Times" w:hAnsi="Times" w:cs="Times New Roman"/>
          <w:sz w:val="20"/>
          <w:szCs w:val="20"/>
          <w:lang w:val="es-MX"/>
        </w:rPr>
      </w:pPr>
      <w:r w:rsidRPr="00EE3D8E">
        <w:rPr>
          <w:rFonts w:ascii="Arial" w:hAnsi="Arial" w:cs="Arial"/>
          <w:b/>
          <w:bCs/>
          <w:color w:val="000000"/>
          <w:sz w:val="20"/>
          <w:szCs w:val="20"/>
          <w:lang w:val="es-MX"/>
        </w:rPr>
        <w:t>“ANÁLISIS NORMATIVO: DERECHOS EN CONFLICTO Y DERECHO APLICABLE”</w:t>
      </w:r>
    </w:p>
    <w:p w14:paraId="1E345B7E" w14:textId="77777777" w:rsidR="006850A7" w:rsidRDefault="006850A7" w:rsidP="006850A7">
      <w:pPr>
        <w:ind w:left="720"/>
        <w:jc w:val="both"/>
        <w:rPr>
          <w:rFonts w:ascii="Arial" w:hAnsi="Arial" w:cs="Arial"/>
          <w:b/>
          <w:bCs/>
          <w:color w:val="000000"/>
          <w:sz w:val="23"/>
          <w:szCs w:val="23"/>
          <w:lang w:val="es-MX"/>
        </w:rPr>
      </w:pPr>
    </w:p>
    <w:p w14:paraId="59A6A7B2" w14:textId="77777777" w:rsidR="006850A7" w:rsidRPr="002E660F" w:rsidRDefault="006850A7" w:rsidP="006850A7">
      <w:pPr>
        <w:pStyle w:val="ListParagraph"/>
        <w:numPr>
          <w:ilvl w:val="0"/>
          <w:numId w:val="5"/>
        </w:numPr>
        <w:jc w:val="both"/>
        <w:rPr>
          <w:rFonts w:ascii="Arial" w:hAnsi="Arial" w:cs="Times New Roman"/>
          <w:sz w:val="20"/>
          <w:szCs w:val="20"/>
          <w:lang w:val="es-MX"/>
        </w:rPr>
      </w:pPr>
      <w:r w:rsidRPr="002E660F">
        <w:rPr>
          <w:rFonts w:ascii="Arial" w:hAnsi="Arial" w:cs="Times New Roman"/>
          <w:sz w:val="20"/>
          <w:szCs w:val="20"/>
          <w:lang w:val="es-MX"/>
        </w:rPr>
        <w:t>Lea y ha</w:t>
      </w:r>
      <w:r>
        <w:rPr>
          <w:rFonts w:ascii="Arial" w:hAnsi="Arial" w:cs="Times New Roman"/>
          <w:sz w:val="20"/>
          <w:szCs w:val="20"/>
          <w:lang w:val="es-MX"/>
        </w:rPr>
        <w:t xml:space="preserve">ga anotaciones, que retomará más adelante, sobre los siguientes </w:t>
      </w:r>
      <w:r>
        <w:rPr>
          <w:rFonts w:ascii="Arial" w:hAnsi="Arial" w:cs="Arial"/>
          <w:b/>
          <w:bCs/>
          <w:color w:val="000000"/>
          <w:sz w:val="20"/>
          <w:szCs w:val="20"/>
          <w:lang w:val="es-MX"/>
        </w:rPr>
        <w:t>c</w:t>
      </w:r>
      <w:r w:rsidRPr="007C41CA">
        <w:rPr>
          <w:rFonts w:ascii="Arial" w:hAnsi="Arial" w:cs="Arial"/>
          <w:b/>
          <w:bCs/>
          <w:color w:val="000000"/>
          <w:sz w:val="20"/>
          <w:szCs w:val="20"/>
          <w:lang w:val="es-MX"/>
        </w:rPr>
        <w:t>riterios de análisis</w:t>
      </w:r>
      <w:r w:rsidRPr="002E660F">
        <w:rPr>
          <w:rFonts w:ascii="Arial" w:hAnsi="Arial" w:cs="Times New Roman"/>
          <w:sz w:val="20"/>
          <w:szCs w:val="20"/>
          <w:lang w:val="es-MX"/>
        </w:rPr>
        <w:t>:</w:t>
      </w:r>
    </w:p>
    <w:p w14:paraId="697C36F8" w14:textId="77777777" w:rsidR="006850A7" w:rsidRPr="007C41CA" w:rsidRDefault="006850A7" w:rsidP="006850A7">
      <w:pPr>
        <w:pStyle w:val="ListParagraph"/>
        <w:ind w:left="1211"/>
        <w:jc w:val="both"/>
        <w:rPr>
          <w:rFonts w:ascii="Times" w:hAnsi="Times" w:cs="Times New Roman"/>
          <w:sz w:val="20"/>
          <w:szCs w:val="20"/>
          <w:lang w:val="es-MX"/>
        </w:rPr>
      </w:pPr>
    </w:p>
    <w:p w14:paraId="5D55CA18" w14:textId="77777777" w:rsidR="006850A7" w:rsidRPr="00EE3D8E" w:rsidRDefault="006850A7" w:rsidP="006850A7">
      <w:pPr>
        <w:jc w:val="both"/>
        <w:rPr>
          <w:rFonts w:ascii="Times" w:hAnsi="Times" w:cs="Times New Roman"/>
          <w:sz w:val="20"/>
          <w:szCs w:val="20"/>
          <w:lang w:val="es-MX"/>
        </w:rPr>
      </w:pPr>
      <w:r>
        <w:rPr>
          <w:noProof/>
          <w:lang w:val="en-US" w:eastAsia="en-US"/>
        </w:rPr>
        <mc:AlternateContent>
          <mc:Choice Requires="wps">
            <w:drawing>
              <wp:anchor distT="0" distB="0" distL="114300" distR="114300" simplePos="0" relativeHeight="251659264" behindDoc="0" locked="0" layoutInCell="1" allowOverlap="1" wp14:anchorId="03037D24" wp14:editId="37E48AD9">
                <wp:simplePos x="0" y="0"/>
                <wp:positionH relativeFrom="column">
                  <wp:posOffset>0</wp:posOffset>
                </wp:positionH>
                <wp:positionV relativeFrom="paragraph">
                  <wp:posOffset>0</wp:posOffset>
                </wp:positionV>
                <wp:extent cx="5637530" cy="4844415"/>
                <wp:effectExtent l="0" t="0" r="26670" b="32385"/>
                <wp:wrapSquare wrapText="bothSides"/>
                <wp:docPr id="1" name="Cuadro de texto 1"/>
                <wp:cNvGraphicFramePr/>
                <a:graphic xmlns:a="http://schemas.openxmlformats.org/drawingml/2006/main">
                  <a:graphicData uri="http://schemas.microsoft.com/office/word/2010/wordprocessingShape">
                    <wps:wsp>
                      <wps:cNvSpPr txBox="1"/>
                      <wps:spPr>
                        <a:xfrm>
                          <a:off x="0" y="0"/>
                          <a:ext cx="5637530" cy="4844415"/>
                        </a:xfrm>
                        <a:prstGeom prst="rect">
                          <a:avLst/>
                        </a:prstGeom>
                        <a:ln>
                          <a:solidFill>
                            <a:srgbClr val="288D96"/>
                          </a:solidFill>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55AF6639" w14:textId="77777777" w:rsidR="006850A7" w:rsidRPr="007C41CA" w:rsidRDefault="006850A7" w:rsidP="006850A7">
                            <w:pPr>
                              <w:jc w:val="both"/>
                              <w:rPr>
                                <w:rFonts w:ascii="Times" w:hAnsi="Times" w:cs="Times New Roman"/>
                                <w:sz w:val="20"/>
                                <w:szCs w:val="20"/>
                                <w:lang w:val="es-MX"/>
                              </w:rPr>
                            </w:pPr>
                            <w:r w:rsidRPr="007C41CA">
                              <w:rPr>
                                <w:rFonts w:ascii="Arial" w:hAnsi="Arial" w:cs="Arial"/>
                                <w:color w:val="000000"/>
                                <w:sz w:val="20"/>
                                <w:szCs w:val="20"/>
                                <w:lang w:val="es-MX"/>
                              </w:rPr>
                              <w:t>Para llevar a cabo procesos de diálogo intercutural en el ámbito de la impartición de justicia, la o el juzgador debe revisar dos cuestiones fundamentales</w:t>
                            </w:r>
                            <w:r>
                              <w:rPr>
                                <w:rFonts w:ascii="Arial" w:hAnsi="Arial" w:cs="Arial"/>
                                <w:color w:val="000000"/>
                                <w:sz w:val="20"/>
                                <w:szCs w:val="20"/>
                                <w:lang w:val="es-MX"/>
                              </w:rPr>
                              <w:t xml:space="preserve"> como</w:t>
                            </w:r>
                            <w:r w:rsidRPr="007C41CA">
                              <w:rPr>
                                <w:rFonts w:ascii="Arial" w:hAnsi="Arial" w:cs="Arial"/>
                                <w:color w:val="000000"/>
                                <w:sz w:val="20"/>
                                <w:szCs w:val="20"/>
                                <w:lang w:val="es-MX"/>
                              </w:rPr>
                              <w:t>:</w:t>
                            </w:r>
                          </w:p>
                          <w:p w14:paraId="44F17CD0" w14:textId="77777777" w:rsidR="006850A7" w:rsidRPr="007C41CA" w:rsidRDefault="006850A7" w:rsidP="006850A7">
                            <w:pPr>
                              <w:jc w:val="both"/>
                              <w:rPr>
                                <w:rFonts w:ascii="Times" w:eastAsia="Times New Roman" w:hAnsi="Times" w:cs="Times New Roman"/>
                                <w:sz w:val="20"/>
                                <w:szCs w:val="20"/>
                                <w:lang w:val="es-MX"/>
                              </w:rPr>
                            </w:pPr>
                          </w:p>
                          <w:p w14:paraId="7F4E04CF" w14:textId="77777777" w:rsidR="006850A7" w:rsidRPr="007C41CA" w:rsidRDefault="006850A7" w:rsidP="006850A7">
                            <w:pPr>
                              <w:pStyle w:val="ListParagraph"/>
                              <w:numPr>
                                <w:ilvl w:val="1"/>
                                <w:numId w:val="1"/>
                              </w:numPr>
                              <w:tabs>
                                <w:tab w:val="clear" w:pos="1440"/>
                              </w:tabs>
                              <w:ind w:left="42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 xml:space="preserve">¿Qué derechos están en conflicto con base en los hechos?, precisando dos cuetiones: </w:t>
                            </w:r>
                          </w:p>
                          <w:p w14:paraId="6F1B83D0" w14:textId="77777777" w:rsidR="006850A7" w:rsidRPr="007C41CA" w:rsidRDefault="006850A7" w:rsidP="006850A7">
                            <w:pPr>
                              <w:pStyle w:val="ListParagraph"/>
                              <w:ind w:left="426"/>
                              <w:jc w:val="both"/>
                              <w:textAlignment w:val="baseline"/>
                              <w:rPr>
                                <w:rFonts w:ascii="Arial" w:hAnsi="Arial" w:cs="Arial"/>
                                <w:color w:val="000000"/>
                                <w:sz w:val="20"/>
                                <w:szCs w:val="20"/>
                                <w:lang w:val="es-MX"/>
                              </w:rPr>
                            </w:pPr>
                          </w:p>
                          <w:p w14:paraId="0D9CC444"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Atendiendo a su titularidad: derechos individuales o derechos colectivos</w:t>
                            </w:r>
                          </w:p>
                          <w:p w14:paraId="5222285D" w14:textId="77777777" w:rsidR="006850A7" w:rsidRPr="007C41CA" w:rsidRDefault="006850A7" w:rsidP="006850A7">
                            <w:pPr>
                              <w:numPr>
                                <w:ilvl w:val="1"/>
                                <w:numId w:val="2"/>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individual vs D. individual</w:t>
                            </w:r>
                          </w:p>
                          <w:p w14:paraId="03735274" w14:textId="77777777" w:rsidR="006850A7" w:rsidRPr="007C41CA" w:rsidRDefault="006850A7" w:rsidP="006850A7">
                            <w:pPr>
                              <w:numPr>
                                <w:ilvl w:val="1"/>
                                <w:numId w:val="2"/>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colectivo vs D. colectivo</w:t>
                            </w:r>
                          </w:p>
                          <w:p w14:paraId="7A2ED75F" w14:textId="77777777" w:rsidR="006850A7" w:rsidRPr="007C41CA" w:rsidRDefault="006850A7" w:rsidP="006850A7">
                            <w:pPr>
                              <w:numPr>
                                <w:ilvl w:val="1"/>
                                <w:numId w:val="2"/>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individual vs D. colectivo</w:t>
                            </w:r>
                          </w:p>
                          <w:p w14:paraId="7209504B" w14:textId="77777777" w:rsidR="006850A7" w:rsidRPr="007C41CA" w:rsidRDefault="006850A7" w:rsidP="006850A7">
                            <w:pPr>
                              <w:jc w:val="both"/>
                              <w:rPr>
                                <w:rFonts w:ascii="Times" w:eastAsia="Times New Roman" w:hAnsi="Times" w:cs="Times New Roman"/>
                                <w:sz w:val="20"/>
                                <w:szCs w:val="20"/>
                                <w:lang w:val="es-MX"/>
                              </w:rPr>
                            </w:pPr>
                          </w:p>
                          <w:p w14:paraId="6A5A45F4"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Atendiendo a su origen: derechos reconocidos por el sistema normativo indígena o derechos reconocidos por el sistema normativo central (del Estado).</w:t>
                            </w:r>
                          </w:p>
                          <w:p w14:paraId="243A9375" w14:textId="77777777" w:rsidR="006850A7" w:rsidRPr="007C41CA" w:rsidRDefault="006850A7" w:rsidP="006850A7">
                            <w:pPr>
                              <w:numPr>
                                <w:ilvl w:val="1"/>
                                <w:numId w:val="3"/>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sistema normativo indígena vs D. sistema normativo indígena</w:t>
                            </w:r>
                          </w:p>
                          <w:p w14:paraId="7637C5F8" w14:textId="77777777" w:rsidR="006850A7" w:rsidRPr="007C41CA" w:rsidRDefault="006850A7" w:rsidP="006850A7">
                            <w:pPr>
                              <w:numPr>
                                <w:ilvl w:val="1"/>
                                <w:numId w:val="3"/>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sistema normativo central vs D. sistema normativo central</w:t>
                            </w:r>
                          </w:p>
                          <w:p w14:paraId="54B2AC76" w14:textId="77777777" w:rsidR="006850A7" w:rsidRPr="007C41CA" w:rsidRDefault="006850A7" w:rsidP="006850A7">
                            <w:pPr>
                              <w:numPr>
                                <w:ilvl w:val="1"/>
                                <w:numId w:val="3"/>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sistema normativo central vs D. sistema normativo indígena</w:t>
                            </w:r>
                          </w:p>
                          <w:p w14:paraId="658EFDF6" w14:textId="77777777" w:rsidR="006850A7" w:rsidRPr="007C41CA" w:rsidRDefault="006850A7" w:rsidP="006850A7">
                            <w:pPr>
                              <w:jc w:val="both"/>
                              <w:rPr>
                                <w:rFonts w:ascii="Times" w:eastAsia="Times New Roman" w:hAnsi="Times" w:cs="Times New Roman"/>
                                <w:sz w:val="20"/>
                                <w:szCs w:val="20"/>
                                <w:lang w:val="es-MX"/>
                              </w:rPr>
                            </w:pPr>
                          </w:p>
                          <w:p w14:paraId="39B1B111" w14:textId="77777777" w:rsidR="006850A7" w:rsidRPr="007C41CA" w:rsidRDefault="006850A7" w:rsidP="006850A7">
                            <w:pPr>
                              <w:ind w:left="426"/>
                              <w:jc w:val="both"/>
                              <w:rPr>
                                <w:rFonts w:ascii="Times" w:hAnsi="Times" w:cs="Times New Roman"/>
                                <w:sz w:val="20"/>
                                <w:szCs w:val="20"/>
                                <w:lang w:val="es-MX"/>
                              </w:rPr>
                            </w:pPr>
                            <w:r w:rsidRPr="007C41CA">
                              <w:rPr>
                                <w:rFonts w:ascii="Arial" w:hAnsi="Arial" w:cs="Arial"/>
                                <w:color w:val="000000"/>
                                <w:sz w:val="20"/>
                                <w:szCs w:val="20"/>
                                <w:lang w:val="es-MX"/>
                              </w:rPr>
                              <w:t>En muchos casos será un mismo derecho puede estar previsto en ambos sistemas, aunque aun en ese supuesto, la autoridad jurisdiccional deberá determinar qué significado tienen los derechos en cada uno de ellos y ver si son coincidentes o divergentes.</w:t>
                            </w:r>
                          </w:p>
                          <w:p w14:paraId="70E2A5D3" w14:textId="77777777" w:rsidR="006850A7" w:rsidRPr="007C41CA" w:rsidRDefault="006850A7" w:rsidP="006850A7">
                            <w:pPr>
                              <w:jc w:val="both"/>
                              <w:textAlignment w:val="baseline"/>
                              <w:rPr>
                                <w:rFonts w:ascii="Times" w:eastAsia="Times New Roman" w:hAnsi="Times" w:cs="Times New Roman"/>
                                <w:sz w:val="20"/>
                                <w:szCs w:val="20"/>
                                <w:lang w:val="es-MX"/>
                              </w:rPr>
                            </w:pPr>
                          </w:p>
                          <w:p w14:paraId="420088E3" w14:textId="77777777" w:rsidR="006850A7" w:rsidRPr="007C41CA" w:rsidRDefault="006850A7" w:rsidP="006850A7">
                            <w:pPr>
                              <w:pStyle w:val="ListParagraph"/>
                              <w:numPr>
                                <w:ilvl w:val="1"/>
                                <w:numId w:val="1"/>
                              </w:numPr>
                              <w:ind w:left="42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¿Qué derecho es aplicable al caso para su solución?</w:t>
                            </w:r>
                          </w:p>
                          <w:p w14:paraId="29904269" w14:textId="77777777" w:rsidR="006850A7" w:rsidRPr="007C41CA" w:rsidRDefault="006850A7" w:rsidP="006850A7">
                            <w:pPr>
                              <w:jc w:val="both"/>
                              <w:textAlignment w:val="baseline"/>
                              <w:rPr>
                                <w:rFonts w:ascii="Arial" w:hAnsi="Arial" w:cs="Arial"/>
                                <w:color w:val="000000"/>
                                <w:sz w:val="20"/>
                                <w:szCs w:val="20"/>
                                <w:lang w:val="es-MX"/>
                              </w:rPr>
                            </w:pPr>
                          </w:p>
                          <w:p w14:paraId="1E5076BC"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 xml:space="preserve">Derecho del sistema normativo indígena </w:t>
                            </w:r>
                          </w:p>
                          <w:p w14:paraId="0FE7D3CE" w14:textId="77777777" w:rsidR="006850A7" w:rsidRPr="007C41CA" w:rsidRDefault="006850A7" w:rsidP="006850A7">
                            <w:pPr>
                              <w:ind w:left="851"/>
                              <w:jc w:val="both"/>
                              <w:rPr>
                                <w:rFonts w:ascii="Times" w:hAnsi="Times" w:cs="Times New Roman"/>
                                <w:sz w:val="20"/>
                                <w:szCs w:val="20"/>
                                <w:lang w:val="es-MX"/>
                              </w:rPr>
                            </w:pPr>
                            <w:r w:rsidRPr="007C41CA">
                              <w:rPr>
                                <w:rFonts w:ascii="Arial" w:hAnsi="Arial" w:cs="Arial"/>
                                <w:color w:val="000000"/>
                                <w:sz w:val="20"/>
                                <w:szCs w:val="20"/>
                                <w:lang w:val="es-MX"/>
                              </w:rPr>
                              <w:t>En este sentido la o el juez debe conocer el contenido y características del sistema en cuestión; si advierte con base en el principio pro persona, y con argumentos de objetividad y razonabilidad, que son estas disposiciones las que deben aplicarse, surgirá una presunción respecto a la posibilidad de declinar la competencia en favor de las autoridades indígenas, que son las únicas competentes para aplicarlo.</w:t>
                            </w:r>
                          </w:p>
                          <w:p w14:paraId="4BB54094" w14:textId="77777777" w:rsidR="006850A7" w:rsidRPr="007C41CA" w:rsidRDefault="006850A7" w:rsidP="006850A7">
                            <w:pPr>
                              <w:jc w:val="both"/>
                              <w:textAlignment w:val="baseline"/>
                              <w:rPr>
                                <w:rFonts w:ascii="Times" w:eastAsia="Times New Roman" w:hAnsi="Times" w:cs="Times New Roman"/>
                                <w:sz w:val="20"/>
                                <w:szCs w:val="20"/>
                                <w:lang w:val="es-MX"/>
                              </w:rPr>
                            </w:pPr>
                          </w:p>
                          <w:p w14:paraId="037B5732"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Derecho del sistema normativo central</w:t>
                            </w:r>
                          </w:p>
                          <w:p w14:paraId="2DCCBC15" w14:textId="77777777" w:rsidR="006850A7" w:rsidRPr="007C41CA" w:rsidRDefault="006850A7" w:rsidP="006850A7">
                            <w:pPr>
                              <w:ind w:left="851"/>
                              <w:jc w:val="both"/>
                              <w:rPr>
                                <w:rFonts w:ascii="Arial" w:hAnsi="Arial" w:cs="Arial"/>
                                <w:color w:val="000000"/>
                                <w:sz w:val="20"/>
                                <w:szCs w:val="20"/>
                              </w:rPr>
                            </w:pPr>
                            <w:r w:rsidRPr="007C41CA">
                              <w:rPr>
                                <w:rFonts w:ascii="Arial" w:hAnsi="Arial" w:cs="Arial"/>
                                <w:color w:val="000000"/>
                                <w:sz w:val="20"/>
                                <w:szCs w:val="20"/>
                                <w:lang w:val="es-MX"/>
                              </w:rPr>
                              <w:t>La o el juzgador del sistema de justicia del Estado son competentes para aplicar estas disposiciones.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left:0;text-align:left;margin-left:0;margin-top:0;width:443.9pt;height:381.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" fillcolor="white [3201]" strokecolor="#288d96" strokeweight="2pt">
                <v:textbox style="mso-fit-shape-to-text:t">
                  <w:txbxContent>
                    <w:p w14:paraId="55AF6639" w14:textId="77777777" w:rsidR="006850A7" w:rsidRPr="007C41CA" w:rsidRDefault="006850A7" w:rsidP="006850A7">
                      <w:pPr>
                        <w:jc w:val="both"/>
                        <w:rPr>
                          <w:rFonts w:ascii="Times" w:hAnsi="Times" w:cs="Times New Roman"/>
                          <w:sz w:val="20"/>
                          <w:szCs w:val="20"/>
                          <w:lang w:val="es-MX"/>
                        </w:rPr>
                      </w:pPr>
                      <w:r w:rsidRPr="007C41CA">
                        <w:rPr>
                          <w:rFonts w:ascii="Arial" w:hAnsi="Arial" w:cs="Arial"/>
                          <w:color w:val="000000"/>
                          <w:sz w:val="20"/>
                          <w:szCs w:val="20"/>
                          <w:lang w:val="es-MX"/>
                        </w:rPr>
                        <w:t>Para llevar a cabo procesos de diálogo intercutural en el ámbito de la impartición de justicia, la o el juzgador debe revisar dos cuestiones fundamentales</w:t>
                      </w:r>
                      <w:r>
                        <w:rPr>
                          <w:rFonts w:ascii="Arial" w:hAnsi="Arial" w:cs="Arial"/>
                          <w:color w:val="000000"/>
                          <w:sz w:val="20"/>
                          <w:szCs w:val="20"/>
                          <w:lang w:val="es-MX"/>
                        </w:rPr>
                        <w:t xml:space="preserve"> como</w:t>
                      </w:r>
                      <w:r w:rsidRPr="007C41CA">
                        <w:rPr>
                          <w:rFonts w:ascii="Arial" w:hAnsi="Arial" w:cs="Arial"/>
                          <w:color w:val="000000"/>
                          <w:sz w:val="20"/>
                          <w:szCs w:val="20"/>
                          <w:lang w:val="es-MX"/>
                        </w:rPr>
                        <w:t>:</w:t>
                      </w:r>
                    </w:p>
                    <w:p w14:paraId="44F17CD0" w14:textId="77777777" w:rsidR="006850A7" w:rsidRPr="007C41CA" w:rsidRDefault="006850A7" w:rsidP="006850A7">
                      <w:pPr>
                        <w:jc w:val="both"/>
                        <w:rPr>
                          <w:rFonts w:ascii="Times" w:eastAsia="Times New Roman" w:hAnsi="Times" w:cs="Times New Roman"/>
                          <w:sz w:val="20"/>
                          <w:szCs w:val="20"/>
                          <w:lang w:val="es-MX"/>
                        </w:rPr>
                      </w:pPr>
                    </w:p>
                    <w:p w14:paraId="7F4E04CF" w14:textId="77777777" w:rsidR="006850A7" w:rsidRPr="007C41CA" w:rsidRDefault="006850A7" w:rsidP="006850A7">
                      <w:pPr>
                        <w:pStyle w:val="ListParagraph"/>
                        <w:numPr>
                          <w:ilvl w:val="1"/>
                          <w:numId w:val="1"/>
                        </w:numPr>
                        <w:tabs>
                          <w:tab w:val="clear" w:pos="1440"/>
                        </w:tabs>
                        <w:ind w:left="42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 xml:space="preserve">¿Qué derechos están en conflicto con base en los hechos?, precisando dos cuetiones: </w:t>
                      </w:r>
                    </w:p>
                    <w:p w14:paraId="6F1B83D0" w14:textId="77777777" w:rsidR="006850A7" w:rsidRPr="007C41CA" w:rsidRDefault="006850A7" w:rsidP="006850A7">
                      <w:pPr>
                        <w:pStyle w:val="ListParagraph"/>
                        <w:ind w:left="426"/>
                        <w:jc w:val="both"/>
                        <w:textAlignment w:val="baseline"/>
                        <w:rPr>
                          <w:rFonts w:ascii="Arial" w:hAnsi="Arial" w:cs="Arial"/>
                          <w:color w:val="000000"/>
                          <w:sz w:val="20"/>
                          <w:szCs w:val="20"/>
                          <w:lang w:val="es-MX"/>
                        </w:rPr>
                      </w:pPr>
                    </w:p>
                    <w:p w14:paraId="0D9CC444"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Atendiendo a su titularidad: derechos individuales o derechos colectivos</w:t>
                      </w:r>
                    </w:p>
                    <w:p w14:paraId="5222285D" w14:textId="77777777" w:rsidR="006850A7" w:rsidRPr="007C41CA" w:rsidRDefault="006850A7" w:rsidP="006850A7">
                      <w:pPr>
                        <w:numPr>
                          <w:ilvl w:val="1"/>
                          <w:numId w:val="2"/>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individual vs D. individual</w:t>
                      </w:r>
                    </w:p>
                    <w:p w14:paraId="03735274" w14:textId="77777777" w:rsidR="006850A7" w:rsidRPr="007C41CA" w:rsidRDefault="006850A7" w:rsidP="006850A7">
                      <w:pPr>
                        <w:numPr>
                          <w:ilvl w:val="1"/>
                          <w:numId w:val="2"/>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colectivo vs D. colectivo</w:t>
                      </w:r>
                    </w:p>
                    <w:p w14:paraId="7A2ED75F" w14:textId="77777777" w:rsidR="006850A7" w:rsidRPr="007C41CA" w:rsidRDefault="006850A7" w:rsidP="006850A7">
                      <w:pPr>
                        <w:numPr>
                          <w:ilvl w:val="1"/>
                          <w:numId w:val="2"/>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individual vs D. colectivo</w:t>
                      </w:r>
                    </w:p>
                    <w:p w14:paraId="7209504B" w14:textId="77777777" w:rsidR="006850A7" w:rsidRPr="007C41CA" w:rsidRDefault="006850A7" w:rsidP="006850A7">
                      <w:pPr>
                        <w:jc w:val="both"/>
                        <w:rPr>
                          <w:rFonts w:ascii="Times" w:eastAsia="Times New Roman" w:hAnsi="Times" w:cs="Times New Roman"/>
                          <w:sz w:val="20"/>
                          <w:szCs w:val="20"/>
                          <w:lang w:val="es-MX"/>
                        </w:rPr>
                      </w:pPr>
                    </w:p>
                    <w:p w14:paraId="6A5A45F4"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Atendiendo a su origen: derechos reconocidos por el sistema normativo indígena o derechos reconocidos por el sistema normativo central (del Estado).</w:t>
                      </w:r>
                    </w:p>
                    <w:p w14:paraId="243A9375" w14:textId="77777777" w:rsidR="006850A7" w:rsidRPr="007C41CA" w:rsidRDefault="006850A7" w:rsidP="006850A7">
                      <w:pPr>
                        <w:numPr>
                          <w:ilvl w:val="1"/>
                          <w:numId w:val="3"/>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sistema normativo indígena vs D. sistema normativo indígena</w:t>
                      </w:r>
                    </w:p>
                    <w:p w14:paraId="7637C5F8" w14:textId="77777777" w:rsidR="006850A7" w:rsidRPr="007C41CA" w:rsidRDefault="006850A7" w:rsidP="006850A7">
                      <w:pPr>
                        <w:numPr>
                          <w:ilvl w:val="1"/>
                          <w:numId w:val="3"/>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sistema normativo central vs D. sistema normativo central</w:t>
                      </w:r>
                    </w:p>
                    <w:p w14:paraId="54B2AC76" w14:textId="77777777" w:rsidR="006850A7" w:rsidRPr="007C41CA" w:rsidRDefault="006850A7" w:rsidP="006850A7">
                      <w:pPr>
                        <w:numPr>
                          <w:ilvl w:val="1"/>
                          <w:numId w:val="3"/>
                        </w:numPr>
                        <w:ind w:left="127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 sistema normativo central vs D. sistema normativo indígena</w:t>
                      </w:r>
                    </w:p>
                    <w:p w14:paraId="658EFDF6" w14:textId="77777777" w:rsidR="006850A7" w:rsidRPr="007C41CA" w:rsidRDefault="006850A7" w:rsidP="006850A7">
                      <w:pPr>
                        <w:jc w:val="both"/>
                        <w:rPr>
                          <w:rFonts w:ascii="Times" w:eastAsia="Times New Roman" w:hAnsi="Times" w:cs="Times New Roman"/>
                          <w:sz w:val="20"/>
                          <w:szCs w:val="20"/>
                          <w:lang w:val="es-MX"/>
                        </w:rPr>
                      </w:pPr>
                    </w:p>
                    <w:p w14:paraId="39B1B111" w14:textId="77777777" w:rsidR="006850A7" w:rsidRPr="007C41CA" w:rsidRDefault="006850A7" w:rsidP="006850A7">
                      <w:pPr>
                        <w:ind w:left="426"/>
                        <w:jc w:val="both"/>
                        <w:rPr>
                          <w:rFonts w:ascii="Times" w:hAnsi="Times" w:cs="Times New Roman"/>
                          <w:sz w:val="20"/>
                          <w:szCs w:val="20"/>
                          <w:lang w:val="es-MX"/>
                        </w:rPr>
                      </w:pPr>
                      <w:r w:rsidRPr="007C41CA">
                        <w:rPr>
                          <w:rFonts w:ascii="Arial" w:hAnsi="Arial" w:cs="Arial"/>
                          <w:color w:val="000000"/>
                          <w:sz w:val="20"/>
                          <w:szCs w:val="20"/>
                          <w:lang w:val="es-MX"/>
                        </w:rPr>
                        <w:t>En muchos casos será un mismo derecho puede estar previsto en ambos sistemas, aunque aun en ese supuesto, la autoridad jurisdiccional deberá determinar qué significado tienen los derechos en cada uno de ellos y ver si son coincidentes o divergentes.</w:t>
                      </w:r>
                    </w:p>
                    <w:p w14:paraId="70E2A5D3" w14:textId="77777777" w:rsidR="006850A7" w:rsidRPr="007C41CA" w:rsidRDefault="006850A7" w:rsidP="006850A7">
                      <w:pPr>
                        <w:jc w:val="both"/>
                        <w:textAlignment w:val="baseline"/>
                        <w:rPr>
                          <w:rFonts w:ascii="Times" w:eastAsia="Times New Roman" w:hAnsi="Times" w:cs="Times New Roman"/>
                          <w:sz w:val="20"/>
                          <w:szCs w:val="20"/>
                          <w:lang w:val="es-MX"/>
                        </w:rPr>
                      </w:pPr>
                    </w:p>
                    <w:p w14:paraId="420088E3" w14:textId="77777777" w:rsidR="006850A7" w:rsidRPr="007C41CA" w:rsidRDefault="006850A7" w:rsidP="006850A7">
                      <w:pPr>
                        <w:pStyle w:val="ListParagraph"/>
                        <w:numPr>
                          <w:ilvl w:val="1"/>
                          <w:numId w:val="1"/>
                        </w:numPr>
                        <w:ind w:left="426"/>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¿Qué derecho es aplicable al caso para su solución?</w:t>
                      </w:r>
                    </w:p>
                    <w:p w14:paraId="29904269" w14:textId="77777777" w:rsidR="006850A7" w:rsidRPr="007C41CA" w:rsidRDefault="006850A7" w:rsidP="006850A7">
                      <w:pPr>
                        <w:jc w:val="both"/>
                        <w:textAlignment w:val="baseline"/>
                        <w:rPr>
                          <w:rFonts w:ascii="Arial" w:hAnsi="Arial" w:cs="Arial"/>
                          <w:color w:val="000000"/>
                          <w:sz w:val="20"/>
                          <w:szCs w:val="20"/>
                          <w:lang w:val="es-MX"/>
                        </w:rPr>
                      </w:pPr>
                    </w:p>
                    <w:p w14:paraId="1E5076BC"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 xml:space="preserve">Derecho del sistema normativo indígena </w:t>
                      </w:r>
                    </w:p>
                    <w:p w14:paraId="0FE7D3CE" w14:textId="77777777" w:rsidR="006850A7" w:rsidRPr="007C41CA" w:rsidRDefault="006850A7" w:rsidP="006850A7">
                      <w:pPr>
                        <w:ind w:left="851"/>
                        <w:jc w:val="both"/>
                        <w:rPr>
                          <w:rFonts w:ascii="Times" w:hAnsi="Times" w:cs="Times New Roman"/>
                          <w:sz w:val="20"/>
                          <w:szCs w:val="20"/>
                          <w:lang w:val="es-MX"/>
                        </w:rPr>
                      </w:pPr>
                      <w:r w:rsidRPr="007C41CA">
                        <w:rPr>
                          <w:rFonts w:ascii="Arial" w:hAnsi="Arial" w:cs="Arial"/>
                          <w:color w:val="000000"/>
                          <w:sz w:val="20"/>
                          <w:szCs w:val="20"/>
                          <w:lang w:val="es-MX"/>
                        </w:rPr>
                        <w:t>En este sentido la o el juez debe conocer el contenido y características del sistema en cuestión; si advierte con base en el principio pro persona, y con argumentos de objetividad y razonabilidad, que son estas disposiciones las que deben aplicarse, surgirá una presunción respecto a la posibilidad de declinar la competencia en favor de las autoridades indígenas, que son las únicas competentes para aplicarlo.</w:t>
                      </w:r>
                    </w:p>
                    <w:p w14:paraId="4BB54094" w14:textId="77777777" w:rsidR="006850A7" w:rsidRPr="007C41CA" w:rsidRDefault="006850A7" w:rsidP="006850A7">
                      <w:pPr>
                        <w:jc w:val="both"/>
                        <w:textAlignment w:val="baseline"/>
                        <w:rPr>
                          <w:rFonts w:ascii="Times" w:eastAsia="Times New Roman" w:hAnsi="Times" w:cs="Times New Roman"/>
                          <w:sz w:val="20"/>
                          <w:szCs w:val="20"/>
                          <w:lang w:val="es-MX"/>
                        </w:rPr>
                      </w:pPr>
                    </w:p>
                    <w:p w14:paraId="037B5732" w14:textId="77777777" w:rsidR="006850A7" w:rsidRPr="007C41CA" w:rsidRDefault="006850A7" w:rsidP="006850A7">
                      <w:pPr>
                        <w:pStyle w:val="ListParagraph"/>
                        <w:numPr>
                          <w:ilvl w:val="2"/>
                          <w:numId w:val="1"/>
                        </w:numPr>
                        <w:ind w:left="851"/>
                        <w:jc w:val="both"/>
                        <w:textAlignment w:val="baseline"/>
                        <w:rPr>
                          <w:rFonts w:ascii="Arial" w:hAnsi="Arial" w:cs="Arial"/>
                          <w:color w:val="000000"/>
                          <w:sz w:val="20"/>
                          <w:szCs w:val="20"/>
                          <w:lang w:val="es-MX"/>
                        </w:rPr>
                      </w:pPr>
                      <w:r w:rsidRPr="007C41CA">
                        <w:rPr>
                          <w:rFonts w:ascii="Arial" w:hAnsi="Arial" w:cs="Arial"/>
                          <w:color w:val="000000"/>
                          <w:sz w:val="20"/>
                          <w:szCs w:val="20"/>
                          <w:lang w:val="es-MX"/>
                        </w:rPr>
                        <w:t>Derecho del sistema normativo central</w:t>
                      </w:r>
                    </w:p>
                    <w:p w14:paraId="2DCCBC15" w14:textId="77777777" w:rsidR="006850A7" w:rsidRPr="007C41CA" w:rsidRDefault="006850A7" w:rsidP="006850A7">
                      <w:pPr>
                        <w:ind w:left="851"/>
                        <w:jc w:val="both"/>
                        <w:rPr>
                          <w:rFonts w:ascii="Arial" w:hAnsi="Arial" w:cs="Arial"/>
                          <w:color w:val="000000"/>
                          <w:sz w:val="20"/>
                          <w:szCs w:val="20"/>
                        </w:rPr>
                      </w:pPr>
                      <w:r w:rsidRPr="007C41CA">
                        <w:rPr>
                          <w:rFonts w:ascii="Arial" w:hAnsi="Arial" w:cs="Arial"/>
                          <w:color w:val="000000"/>
                          <w:sz w:val="20"/>
                          <w:szCs w:val="20"/>
                          <w:lang w:val="es-MX"/>
                        </w:rPr>
                        <w:t>La o el juzgador del sistema de justicia del Estado son competentes para aplicar estas disposiciones.</w:t>
                      </w:r>
                    </w:p>
                  </w:txbxContent>
                </v:textbox>
                <w10:wrap type="square"/>
              </v:shape>
            </w:pict>
          </mc:Fallback>
        </mc:AlternateContent>
      </w:r>
      <w:r w:rsidRPr="00EE3D8E">
        <w:rPr>
          <w:rFonts w:ascii="Arial" w:hAnsi="Arial" w:cs="Arial"/>
          <w:color w:val="000000"/>
          <w:sz w:val="23"/>
          <w:szCs w:val="23"/>
          <w:lang w:val="es-MX"/>
        </w:rPr>
        <w:t>Con base en estos criterios de análisis, revise nuevamente el caso que seleccionó en la Unidad 2</w:t>
      </w:r>
      <w:r>
        <w:rPr>
          <w:rFonts w:ascii="Arial" w:hAnsi="Arial" w:cs="Arial"/>
          <w:color w:val="000000"/>
          <w:sz w:val="23"/>
          <w:szCs w:val="23"/>
          <w:lang w:val="es-MX"/>
        </w:rPr>
        <w:t xml:space="preserve"> y realice lo siguiente:</w:t>
      </w:r>
    </w:p>
    <w:p w14:paraId="3F36DA2E" w14:textId="77777777" w:rsidR="006850A7" w:rsidRPr="00EE3D8E" w:rsidRDefault="006850A7" w:rsidP="006850A7">
      <w:pPr>
        <w:jc w:val="both"/>
        <w:rPr>
          <w:rFonts w:ascii="Times" w:eastAsia="Times New Roman" w:hAnsi="Times" w:cs="Times New Roman"/>
          <w:sz w:val="20"/>
          <w:szCs w:val="20"/>
          <w:lang w:val="es-MX"/>
        </w:rPr>
      </w:pPr>
    </w:p>
    <w:p w14:paraId="365CD9EC" w14:textId="77777777" w:rsidR="006850A7" w:rsidRPr="00327E9A" w:rsidRDefault="006850A7" w:rsidP="006850A7">
      <w:pPr>
        <w:pStyle w:val="ListParagraph"/>
        <w:numPr>
          <w:ilvl w:val="0"/>
          <w:numId w:val="4"/>
        </w:numPr>
        <w:jc w:val="both"/>
        <w:textAlignment w:val="baseline"/>
        <w:rPr>
          <w:rFonts w:ascii="Arial" w:hAnsi="Arial" w:cs="Arial"/>
          <w:color w:val="000000"/>
          <w:sz w:val="23"/>
          <w:szCs w:val="23"/>
          <w:lang w:val="es-MX"/>
        </w:rPr>
      </w:pPr>
      <w:r w:rsidRPr="00327E9A">
        <w:rPr>
          <w:rFonts w:ascii="Arial" w:hAnsi="Arial" w:cs="Arial"/>
          <w:b/>
          <w:bCs/>
          <w:color w:val="000000"/>
          <w:sz w:val="23"/>
          <w:szCs w:val="23"/>
          <w:lang w:val="es-MX"/>
        </w:rPr>
        <w:t>IDENTIFIQUE</w:t>
      </w:r>
      <w:r w:rsidRPr="00327E9A">
        <w:rPr>
          <w:rFonts w:ascii="Arial" w:hAnsi="Arial" w:cs="Arial"/>
          <w:color w:val="000000"/>
          <w:sz w:val="23"/>
          <w:szCs w:val="23"/>
          <w:lang w:val="es-MX"/>
        </w:rPr>
        <w:t xml:space="preserve"> los derechos en conflicto atendiendo a su titularidad y a su origen; </w:t>
      </w:r>
      <w:r w:rsidRPr="00327E9A">
        <w:rPr>
          <w:rFonts w:ascii="Arial" w:hAnsi="Arial" w:cs="Arial"/>
          <w:b/>
          <w:bCs/>
          <w:color w:val="000000"/>
          <w:sz w:val="23"/>
          <w:szCs w:val="23"/>
          <w:lang w:val="es-MX"/>
        </w:rPr>
        <w:t>y DEFÍNALOS con sus propias palabras</w:t>
      </w:r>
      <w:r w:rsidRPr="00327E9A">
        <w:rPr>
          <w:rFonts w:ascii="Arial" w:hAnsi="Arial" w:cs="Arial"/>
          <w:color w:val="000000"/>
          <w:sz w:val="23"/>
          <w:szCs w:val="23"/>
          <w:lang w:val="es-MX"/>
        </w:rPr>
        <w:t xml:space="preserve"> con base en jurisprudencia nacional e internacional y/o en doctrina (los datos de localización de la misma debe citarse al final del trabajo).</w:t>
      </w:r>
    </w:p>
    <w:p w14:paraId="232109F4" w14:textId="77777777" w:rsidR="006850A7" w:rsidRPr="00EE3D8E" w:rsidRDefault="006850A7" w:rsidP="006850A7">
      <w:pPr>
        <w:jc w:val="both"/>
        <w:rPr>
          <w:rFonts w:ascii="Times" w:hAnsi="Times" w:cs="Times New Roman"/>
          <w:sz w:val="20"/>
          <w:szCs w:val="20"/>
          <w:lang w:val="es-MX"/>
        </w:rPr>
      </w:pPr>
      <w:r w:rsidRPr="00EE3D8E">
        <w:rPr>
          <w:rFonts w:ascii="Arial" w:hAnsi="Arial" w:cs="Arial"/>
          <w:color w:val="000000"/>
          <w:sz w:val="23"/>
          <w:szCs w:val="23"/>
          <w:lang w:val="es-MX"/>
        </w:rPr>
        <w:t xml:space="preserve">        </w:t>
      </w:r>
    </w:p>
    <w:p w14:paraId="4587999A" w14:textId="77777777" w:rsidR="006850A7" w:rsidRPr="00EE3D8E" w:rsidRDefault="006850A7" w:rsidP="006850A7">
      <w:pPr>
        <w:ind w:left="708"/>
        <w:jc w:val="both"/>
        <w:rPr>
          <w:rFonts w:ascii="Times" w:hAnsi="Times" w:cs="Times New Roman"/>
          <w:sz w:val="20"/>
          <w:szCs w:val="20"/>
          <w:lang w:val="es-MX"/>
        </w:rPr>
      </w:pPr>
      <w:r w:rsidRPr="00327E9A">
        <w:rPr>
          <w:rFonts w:ascii="Arial" w:hAnsi="Arial" w:cs="Arial"/>
          <w:b/>
          <w:color w:val="000000"/>
          <w:sz w:val="23"/>
          <w:szCs w:val="23"/>
          <w:lang w:val="es-MX"/>
        </w:rPr>
        <w:t>Importante</w:t>
      </w:r>
      <w:r w:rsidRPr="00EE3D8E">
        <w:rPr>
          <w:rFonts w:ascii="Arial" w:hAnsi="Arial" w:cs="Arial"/>
          <w:color w:val="000000"/>
          <w:sz w:val="23"/>
          <w:szCs w:val="23"/>
          <w:lang w:val="es-MX"/>
        </w:rPr>
        <w:t>: NO debe hacer transcripciones literales de las fuentes consultadas y tampoco repetir el derecho a definir con la misma palabra que se pretende definir, por ejemplo, no sería correcto lo siguiente: el derecho a la igualdad es que todas las personas sean tratadas igual; o, el derecho a la educación consiste en que todas las personas reciban educación.</w:t>
      </w:r>
    </w:p>
    <w:p w14:paraId="7E1C791D" w14:textId="77777777" w:rsidR="006850A7" w:rsidRDefault="006850A7" w:rsidP="006850A7">
      <w:pPr>
        <w:jc w:val="both"/>
        <w:textAlignment w:val="baseline"/>
        <w:rPr>
          <w:rFonts w:ascii="Times" w:eastAsia="Times New Roman" w:hAnsi="Times" w:cs="Times New Roman"/>
          <w:sz w:val="20"/>
          <w:szCs w:val="20"/>
          <w:lang w:val="es-MX"/>
        </w:rPr>
      </w:pPr>
    </w:p>
    <w:p w14:paraId="255F5B60" w14:textId="77777777" w:rsidR="006850A7" w:rsidRPr="00327E9A" w:rsidRDefault="006850A7" w:rsidP="006850A7">
      <w:pPr>
        <w:pStyle w:val="ListParagraph"/>
        <w:numPr>
          <w:ilvl w:val="0"/>
          <w:numId w:val="4"/>
        </w:numPr>
        <w:jc w:val="both"/>
        <w:textAlignment w:val="baseline"/>
        <w:rPr>
          <w:rFonts w:ascii="Arial" w:hAnsi="Arial" w:cs="Arial"/>
          <w:color w:val="000000"/>
          <w:sz w:val="23"/>
          <w:szCs w:val="23"/>
          <w:lang w:val="es-MX"/>
        </w:rPr>
      </w:pPr>
      <w:r w:rsidRPr="00327E9A">
        <w:rPr>
          <w:rFonts w:ascii="Arial" w:hAnsi="Arial" w:cs="Arial"/>
          <w:b/>
          <w:color w:val="000000"/>
          <w:sz w:val="23"/>
          <w:szCs w:val="23"/>
          <w:lang w:val="es-MX"/>
        </w:rPr>
        <w:t>IDENTIFIQUE</w:t>
      </w:r>
      <w:r w:rsidRPr="00327E9A">
        <w:rPr>
          <w:rFonts w:ascii="Arial" w:hAnsi="Arial" w:cs="Arial"/>
          <w:color w:val="000000"/>
          <w:sz w:val="23"/>
          <w:szCs w:val="23"/>
          <w:lang w:val="es-MX"/>
        </w:rPr>
        <w:t xml:space="preserve"> qué disposiciones del derecho normativo central podrían ser aplicables a la solución del caso. </w:t>
      </w:r>
      <w:r w:rsidRPr="00327E9A">
        <w:rPr>
          <w:rFonts w:ascii="Arial" w:hAnsi="Arial" w:cs="Arial"/>
          <w:b/>
          <w:color w:val="000000"/>
          <w:sz w:val="23"/>
          <w:szCs w:val="23"/>
          <w:lang w:val="es-MX"/>
        </w:rPr>
        <w:t>INVESTIGUE y SEÑALE</w:t>
      </w:r>
      <w:r w:rsidRPr="00327E9A">
        <w:rPr>
          <w:rFonts w:ascii="Arial" w:hAnsi="Arial" w:cs="Arial"/>
          <w:color w:val="000000"/>
          <w:sz w:val="23"/>
          <w:szCs w:val="23"/>
          <w:lang w:val="es-MX"/>
        </w:rPr>
        <w:t xml:space="preserve"> si esta conducta se regula en algunas comunidades de México y cómo se regula.</w:t>
      </w:r>
    </w:p>
    <w:p w14:paraId="564145DE" w14:textId="77777777" w:rsidR="006850A7" w:rsidRPr="00EE3D8E" w:rsidRDefault="006850A7" w:rsidP="006850A7">
      <w:pPr>
        <w:jc w:val="both"/>
        <w:rPr>
          <w:rFonts w:ascii="Times" w:eastAsia="Times New Roman" w:hAnsi="Times" w:cs="Times New Roman"/>
          <w:sz w:val="20"/>
          <w:szCs w:val="20"/>
          <w:lang w:val="es-MX"/>
        </w:rPr>
      </w:pPr>
    </w:p>
    <w:p w14:paraId="2122473E" w14:textId="77777777" w:rsidR="006850A7" w:rsidRPr="00EE3D8E" w:rsidRDefault="006850A7" w:rsidP="006850A7">
      <w:pPr>
        <w:ind w:left="708"/>
        <w:jc w:val="both"/>
        <w:rPr>
          <w:rFonts w:ascii="Times" w:hAnsi="Times" w:cs="Times New Roman"/>
          <w:sz w:val="20"/>
          <w:szCs w:val="20"/>
          <w:lang w:val="es-MX"/>
        </w:rPr>
      </w:pPr>
      <w:r w:rsidRPr="005D1B44">
        <w:rPr>
          <w:rFonts w:ascii="Arial" w:hAnsi="Arial" w:cs="Arial"/>
          <w:b/>
          <w:color w:val="000000"/>
          <w:sz w:val="23"/>
          <w:szCs w:val="23"/>
          <w:lang w:val="es-MX"/>
        </w:rPr>
        <w:t>Importante:</w:t>
      </w:r>
      <w:r>
        <w:rPr>
          <w:rFonts w:ascii="Arial" w:hAnsi="Arial" w:cs="Arial"/>
          <w:color w:val="000000"/>
          <w:sz w:val="23"/>
          <w:szCs w:val="23"/>
          <w:lang w:val="es-MX"/>
        </w:rPr>
        <w:t xml:space="preserve"> </w:t>
      </w:r>
      <w:r w:rsidRPr="00EE3D8E">
        <w:rPr>
          <w:rFonts w:ascii="Arial" w:hAnsi="Arial" w:cs="Arial"/>
          <w:color w:val="000000"/>
          <w:sz w:val="23"/>
          <w:szCs w:val="23"/>
          <w:lang w:val="es-MX"/>
        </w:rPr>
        <w:t>NO es necesario que transcriba el contenido de las disposiciones identificadas, basta con que señale el número de artículo y el nombre del ordenamiento.</w:t>
      </w:r>
    </w:p>
    <w:p w14:paraId="3B13D716" w14:textId="77777777" w:rsidR="006850A7" w:rsidRPr="00EE3D8E" w:rsidRDefault="006850A7" w:rsidP="006850A7">
      <w:pPr>
        <w:jc w:val="both"/>
        <w:rPr>
          <w:rFonts w:ascii="Times" w:eastAsia="Times New Roman" w:hAnsi="Times" w:cs="Times New Roman"/>
          <w:sz w:val="20"/>
          <w:szCs w:val="20"/>
          <w:lang w:val="es-MX"/>
        </w:rPr>
      </w:pPr>
    </w:p>
    <w:p w14:paraId="032F3E5D" w14:textId="77777777" w:rsidR="006850A7" w:rsidRDefault="006850A7" w:rsidP="006850A7">
      <w:pPr>
        <w:jc w:val="both"/>
        <w:rPr>
          <w:rFonts w:ascii="Arial" w:hAnsi="Arial" w:cs="Arial"/>
          <w:color w:val="000000"/>
          <w:sz w:val="23"/>
          <w:szCs w:val="23"/>
          <w:lang w:val="es-MX"/>
        </w:rPr>
      </w:pPr>
      <w:r w:rsidRPr="00EE3D8E">
        <w:rPr>
          <w:rFonts w:ascii="Arial" w:hAnsi="Arial" w:cs="Arial"/>
          <w:color w:val="000000"/>
          <w:sz w:val="23"/>
          <w:szCs w:val="23"/>
          <w:lang w:val="es-MX"/>
        </w:rPr>
        <w:t>Con esa información llene el siguiente formato y súbalo a la Plataforma</w:t>
      </w:r>
      <w:r>
        <w:rPr>
          <w:rFonts w:ascii="Arial" w:hAnsi="Arial" w:cs="Arial"/>
          <w:color w:val="000000"/>
          <w:sz w:val="23"/>
          <w:szCs w:val="23"/>
          <w:lang w:val="es-MX"/>
        </w:rPr>
        <w:t xml:space="preserve"> del curso (r</w:t>
      </w:r>
      <w:r w:rsidRPr="00EE3D8E">
        <w:rPr>
          <w:rFonts w:ascii="Arial" w:hAnsi="Arial" w:cs="Arial"/>
          <w:color w:val="000000"/>
          <w:sz w:val="23"/>
          <w:szCs w:val="23"/>
          <w:lang w:val="es-MX"/>
        </w:rPr>
        <w:t>ecuerde que la extensión máxima para esta actividad es de son dos cuartillas y media de contenido sustancial, interlineado sencillo y letra de 12 puntos).</w:t>
      </w:r>
    </w:p>
    <w:p w14:paraId="46782152" w14:textId="77777777" w:rsidR="006850A7" w:rsidRPr="00EE3D8E" w:rsidRDefault="006850A7" w:rsidP="006850A7">
      <w:pPr>
        <w:jc w:val="both"/>
        <w:rPr>
          <w:rFonts w:ascii="Times" w:hAnsi="Times" w:cs="Times New Roman"/>
          <w:sz w:val="20"/>
          <w:szCs w:val="20"/>
          <w:lang w:val="es-MX"/>
        </w:rPr>
      </w:pPr>
    </w:p>
    <w:tbl>
      <w:tblPr>
        <w:tblW w:w="9360" w:type="dxa"/>
        <w:tblCellMar>
          <w:top w:w="15" w:type="dxa"/>
          <w:left w:w="15" w:type="dxa"/>
          <w:bottom w:w="15" w:type="dxa"/>
          <w:right w:w="15" w:type="dxa"/>
        </w:tblCellMar>
        <w:tblLook w:val="04A0" w:firstRow="1" w:lastRow="0" w:firstColumn="1" w:lastColumn="0" w:noHBand="0" w:noVBand="1"/>
      </w:tblPr>
      <w:tblGrid>
        <w:gridCol w:w="2155"/>
        <w:gridCol w:w="3588"/>
        <w:gridCol w:w="3617"/>
      </w:tblGrid>
      <w:tr w:rsidR="006850A7" w:rsidRPr="00EE3D8E" w14:paraId="619DD632" w14:textId="77777777" w:rsidTr="00CE2B03">
        <w:tc>
          <w:tcPr>
            <w:tcW w:w="0" w:type="auto"/>
            <w:tcBorders>
              <w:top w:val="single" w:sz="6" w:space="0" w:color="000000"/>
              <w:left w:val="single" w:sz="6" w:space="0" w:color="000000"/>
              <w:bottom w:val="single" w:sz="6" w:space="0" w:color="000000"/>
              <w:right w:val="single" w:sz="6" w:space="0" w:color="000000"/>
            </w:tcBorders>
            <w:shd w:val="clear" w:color="auto" w:fill="2697A4"/>
            <w:tcMar>
              <w:top w:w="105" w:type="dxa"/>
              <w:left w:w="105" w:type="dxa"/>
              <w:bottom w:w="105" w:type="dxa"/>
              <w:right w:w="105" w:type="dxa"/>
            </w:tcMar>
            <w:hideMark/>
          </w:tcPr>
          <w:p w14:paraId="09A30EBA" w14:textId="77777777" w:rsidR="006850A7" w:rsidRPr="00CE2B03" w:rsidRDefault="006850A7" w:rsidP="00CE2B03">
            <w:pPr>
              <w:spacing w:line="0" w:lineRule="atLeast"/>
              <w:rPr>
                <w:rFonts w:ascii="Times" w:hAnsi="Times" w:cs="Times New Roman"/>
                <w:b/>
                <w:color w:val="FFFFFF" w:themeColor="background1"/>
                <w:sz w:val="20"/>
                <w:szCs w:val="20"/>
                <w:lang w:val="es-MX"/>
              </w:rPr>
            </w:pPr>
            <w:r w:rsidRPr="005540E0">
              <w:rPr>
                <w:rFonts w:ascii="Arial" w:hAnsi="Arial" w:cs="Arial"/>
                <w:b/>
                <w:color w:val="000000"/>
                <w:sz w:val="20"/>
                <w:szCs w:val="20"/>
                <w:lang w:val="es-MX"/>
              </w:rPr>
              <w:t>Identifique en el caso:</w:t>
            </w:r>
          </w:p>
        </w:tc>
        <w:tc>
          <w:tcPr>
            <w:tcW w:w="0" w:type="auto"/>
            <w:tcBorders>
              <w:top w:val="single" w:sz="6" w:space="0" w:color="000000"/>
              <w:left w:val="single" w:sz="6" w:space="0" w:color="000000"/>
              <w:bottom w:val="single" w:sz="6" w:space="0" w:color="000000"/>
              <w:right w:val="single" w:sz="6" w:space="0" w:color="000000"/>
            </w:tcBorders>
            <w:shd w:val="clear" w:color="auto" w:fill="2697A4"/>
            <w:tcMar>
              <w:top w:w="105" w:type="dxa"/>
              <w:left w:w="105" w:type="dxa"/>
              <w:bottom w:w="105" w:type="dxa"/>
              <w:right w:w="105" w:type="dxa"/>
            </w:tcMar>
            <w:hideMark/>
          </w:tcPr>
          <w:p w14:paraId="4F78A812" w14:textId="77777777" w:rsidR="006850A7" w:rsidRPr="00327E9A" w:rsidRDefault="006850A7" w:rsidP="006850A7">
            <w:pPr>
              <w:spacing w:line="0" w:lineRule="atLeast"/>
              <w:jc w:val="center"/>
              <w:rPr>
                <w:rFonts w:ascii="Times" w:hAnsi="Times" w:cs="Times New Roman"/>
                <w:b/>
                <w:sz w:val="20"/>
                <w:szCs w:val="20"/>
                <w:lang w:val="es-MX"/>
              </w:rPr>
            </w:pPr>
            <w:r w:rsidRPr="00327E9A">
              <w:rPr>
                <w:rFonts w:ascii="Arial" w:hAnsi="Arial" w:cs="Arial"/>
                <w:b/>
                <w:color w:val="000000"/>
                <w:sz w:val="20"/>
                <w:szCs w:val="20"/>
                <w:lang w:val="es-MX"/>
              </w:rPr>
              <w:t>Análisis normativo</w:t>
            </w:r>
          </w:p>
        </w:tc>
        <w:tc>
          <w:tcPr>
            <w:tcW w:w="0" w:type="auto"/>
            <w:tcBorders>
              <w:top w:val="single" w:sz="6" w:space="0" w:color="000000"/>
              <w:left w:val="single" w:sz="6" w:space="0" w:color="000000"/>
              <w:bottom w:val="single" w:sz="6" w:space="0" w:color="000000"/>
              <w:right w:val="single" w:sz="6" w:space="0" w:color="000000"/>
            </w:tcBorders>
            <w:shd w:val="clear" w:color="auto" w:fill="2697A4"/>
            <w:tcMar>
              <w:top w:w="105" w:type="dxa"/>
              <w:left w:w="105" w:type="dxa"/>
              <w:bottom w:w="105" w:type="dxa"/>
              <w:right w:w="105" w:type="dxa"/>
            </w:tcMar>
            <w:hideMark/>
          </w:tcPr>
          <w:p w14:paraId="62D4A4B6" w14:textId="77777777" w:rsidR="006850A7" w:rsidRPr="00327E9A" w:rsidRDefault="006850A7" w:rsidP="006850A7">
            <w:pPr>
              <w:spacing w:line="0" w:lineRule="atLeast"/>
              <w:jc w:val="center"/>
              <w:rPr>
                <w:rFonts w:ascii="Arial" w:hAnsi="Arial" w:cs="Arial"/>
                <w:b/>
                <w:color w:val="000000"/>
                <w:sz w:val="20"/>
                <w:szCs w:val="20"/>
                <w:lang w:val="es-MX"/>
              </w:rPr>
            </w:pPr>
            <w:r w:rsidRPr="00327E9A">
              <w:rPr>
                <w:rFonts w:ascii="Arial" w:hAnsi="Arial" w:cs="Arial"/>
                <w:b/>
                <w:color w:val="000000"/>
                <w:sz w:val="20"/>
                <w:szCs w:val="20"/>
                <w:lang w:val="es-MX"/>
              </w:rPr>
              <w:t>Justificación conforme</w:t>
            </w:r>
          </w:p>
          <w:p w14:paraId="12BFC2B8" w14:textId="77777777" w:rsidR="006850A7" w:rsidRPr="00327E9A" w:rsidRDefault="006850A7" w:rsidP="006850A7">
            <w:pPr>
              <w:spacing w:line="0" w:lineRule="atLeast"/>
              <w:jc w:val="center"/>
              <w:rPr>
                <w:rFonts w:ascii="Times" w:hAnsi="Times" w:cs="Times New Roman"/>
                <w:b/>
                <w:sz w:val="20"/>
                <w:szCs w:val="20"/>
                <w:lang w:val="es-MX"/>
              </w:rPr>
            </w:pPr>
            <w:r w:rsidRPr="00327E9A">
              <w:rPr>
                <w:rFonts w:ascii="Arial" w:hAnsi="Arial" w:cs="Arial"/>
                <w:b/>
                <w:color w:val="000000"/>
                <w:sz w:val="20"/>
                <w:szCs w:val="20"/>
                <w:lang w:val="es-MX"/>
              </w:rPr>
              <w:t xml:space="preserve"> a los hechos del caso</w:t>
            </w:r>
          </w:p>
        </w:tc>
      </w:tr>
      <w:tr w:rsidR="006850A7" w:rsidRPr="00EE3D8E" w14:paraId="5EA33BA4" w14:textId="77777777" w:rsidTr="00CE2B03">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5" w:type="dxa"/>
              <w:left w:w="105" w:type="dxa"/>
              <w:bottom w:w="105" w:type="dxa"/>
              <w:right w:w="105" w:type="dxa"/>
            </w:tcMar>
            <w:hideMark/>
          </w:tcPr>
          <w:p w14:paraId="7F2F35B2" w14:textId="77777777" w:rsidR="00CE2B03" w:rsidRDefault="006850A7" w:rsidP="00CE2B03">
            <w:pPr>
              <w:spacing w:line="0" w:lineRule="atLeast"/>
              <w:textAlignment w:val="baseline"/>
              <w:rPr>
                <w:rFonts w:ascii="Arial" w:hAnsi="Arial" w:cs="Arial"/>
                <w:b/>
                <w:color w:val="000000"/>
                <w:sz w:val="20"/>
                <w:szCs w:val="20"/>
                <w:lang w:val="es-MX"/>
              </w:rPr>
            </w:pPr>
            <w:r w:rsidRPr="005540E0">
              <w:rPr>
                <w:rFonts w:ascii="Arial" w:hAnsi="Arial" w:cs="Arial"/>
                <w:b/>
                <w:color w:val="000000"/>
                <w:sz w:val="20"/>
                <w:szCs w:val="20"/>
                <w:lang w:val="es-MX"/>
              </w:rPr>
              <w:t>Derechos en conflicto (definiciones)</w:t>
            </w:r>
          </w:p>
          <w:p w14:paraId="512BDF54" w14:textId="77777777" w:rsidR="006850A7" w:rsidRPr="00CE2B03" w:rsidRDefault="006850A7" w:rsidP="00CE2B03">
            <w:pPr>
              <w:jc w:val="right"/>
              <w:rPr>
                <w:rFonts w:ascii="Arial" w:hAnsi="Arial"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23887D" w14:textId="77777777" w:rsidR="006850A7" w:rsidRPr="005540E0" w:rsidRDefault="006850A7" w:rsidP="006850A7">
            <w:pPr>
              <w:jc w:val="both"/>
              <w:rPr>
                <w:rFonts w:ascii="Times" w:hAnsi="Times" w:cs="Times New Roman"/>
                <w:color w:val="BFBFBF" w:themeColor="background1" w:themeShade="BF"/>
                <w:sz w:val="20"/>
                <w:szCs w:val="20"/>
                <w:lang w:val="es-MX"/>
              </w:rPr>
            </w:pPr>
            <w:r w:rsidRPr="005540E0">
              <w:rPr>
                <w:rFonts w:ascii="Arial" w:hAnsi="Arial" w:cs="Arial"/>
                <w:color w:val="BFBFBF" w:themeColor="background1" w:themeShade="BF"/>
                <w:sz w:val="20"/>
                <w:szCs w:val="20"/>
                <w:lang w:val="es-MX"/>
              </w:rPr>
              <w:t>Ejemplo: Derecho de tequio, es un derecho colectivo; el mismo consiste en el trabajo que lleva a cabo una persona en favor de</w:t>
            </w:r>
            <w:r w:rsidR="00CE2B03">
              <w:rPr>
                <w:rFonts w:ascii="Arial" w:hAnsi="Arial" w:cs="Arial"/>
                <w:color w:val="BFBFBF" w:themeColor="background1" w:themeShade="BF"/>
                <w:sz w:val="20"/>
                <w:szCs w:val="20"/>
                <w:lang w:val="es-MX"/>
              </w:rPr>
              <w:t>s</w:t>
            </w:r>
            <w:r w:rsidRPr="005540E0">
              <w:rPr>
                <w:rFonts w:ascii="Arial" w:hAnsi="Arial" w:cs="Arial"/>
                <w:color w:val="BFBFBF" w:themeColor="background1" w:themeShade="BF"/>
                <w:sz w:val="20"/>
                <w:szCs w:val="20"/>
                <w:lang w:val="es-MX"/>
              </w:rPr>
              <w:t xml:space="preserve"> la comunidad...</w:t>
            </w:r>
          </w:p>
          <w:p w14:paraId="3D37D743" w14:textId="77777777" w:rsidR="006850A7" w:rsidRPr="005540E0" w:rsidRDefault="006850A7" w:rsidP="006850A7">
            <w:pPr>
              <w:jc w:val="both"/>
              <w:rPr>
                <w:rFonts w:ascii="Times" w:eastAsia="Times New Roman" w:hAnsi="Times" w:cs="Times New Roman"/>
                <w:color w:val="BFBFBF" w:themeColor="background1" w:themeShade="BF"/>
                <w:sz w:val="20"/>
                <w:szCs w:val="20"/>
                <w:lang w:val="es-MX"/>
              </w:rPr>
            </w:pPr>
          </w:p>
          <w:p w14:paraId="2249F37E" w14:textId="77777777" w:rsidR="006850A7" w:rsidRPr="005540E0" w:rsidRDefault="006850A7" w:rsidP="006850A7">
            <w:pPr>
              <w:spacing w:line="0" w:lineRule="atLeast"/>
              <w:jc w:val="both"/>
              <w:rPr>
                <w:rFonts w:ascii="Arial" w:hAnsi="Arial" w:cs="Arial"/>
                <w:color w:val="BFBFBF" w:themeColor="background1" w:themeShade="BF"/>
                <w:sz w:val="20"/>
                <w:szCs w:val="20"/>
                <w:lang w:val="es-MX"/>
              </w:rPr>
            </w:pPr>
            <w:r w:rsidRPr="005540E0">
              <w:rPr>
                <w:rFonts w:ascii="Arial" w:hAnsi="Arial" w:cs="Arial"/>
                <w:color w:val="BFBFBF" w:themeColor="background1" w:themeShade="BF"/>
                <w:sz w:val="20"/>
                <w:szCs w:val="20"/>
                <w:lang w:val="es-MX"/>
              </w:rPr>
              <w:t>Ejemplo: Derecho a la libertad de tránsito, es un derecho individual que consiste en el poder o facultad que tiene una persona para ambular en el territorio nacional sin obstáculos...</w:t>
            </w:r>
          </w:p>
          <w:p w14:paraId="0A0EED90" w14:textId="77777777" w:rsidR="006850A7" w:rsidRPr="005540E0" w:rsidRDefault="006850A7" w:rsidP="006850A7">
            <w:pPr>
              <w:spacing w:line="0" w:lineRule="atLeast"/>
              <w:jc w:val="both"/>
              <w:rPr>
                <w:rFonts w:ascii="Arial" w:hAnsi="Arial" w:cs="Arial"/>
                <w:color w:val="BFBFBF" w:themeColor="background1" w:themeShade="BF"/>
                <w:sz w:val="20"/>
                <w:szCs w:val="20"/>
                <w:lang w:val="es-MX"/>
              </w:rPr>
            </w:pPr>
          </w:p>
          <w:p w14:paraId="79BC570B" w14:textId="77777777" w:rsidR="006850A7" w:rsidRPr="005540E0" w:rsidRDefault="006850A7" w:rsidP="006850A7">
            <w:pPr>
              <w:spacing w:line="0" w:lineRule="atLeast"/>
              <w:jc w:val="both"/>
              <w:rPr>
                <w:rFonts w:ascii="Arial" w:hAnsi="Arial" w:cs="Arial"/>
                <w:color w:val="BFBFBF" w:themeColor="background1" w:themeShade="BF"/>
                <w:sz w:val="20"/>
                <w:szCs w:val="20"/>
                <w:lang w:val="es-MX"/>
              </w:rPr>
            </w:pPr>
            <w:r w:rsidRPr="005540E0">
              <w:rPr>
                <w:rFonts w:ascii="Arial" w:hAnsi="Arial" w:cs="Arial"/>
                <w:color w:val="BFBFBF" w:themeColor="background1" w:themeShade="BF"/>
                <w:sz w:val="20"/>
                <w:szCs w:val="20"/>
                <w:lang w:val="es-MX"/>
              </w:rPr>
              <w:t>Ejemplo: Derecho a la libertad de expresión…</w:t>
            </w:r>
          </w:p>
          <w:p w14:paraId="496447DE" w14:textId="77777777" w:rsidR="006850A7" w:rsidRPr="005540E0" w:rsidRDefault="006850A7" w:rsidP="006850A7">
            <w:pPr>
              <w:spacing w:line="0" w:lineRule="atLeast"/>
              <w:jc w:val="both"/>
              <w:rPr>
                <w:rFonts w:ascii="Arial" w:hAnsi="Arial" w:cs="Arial"/>
                <w:color w:val="BFBFBF" w:themeColor="background1" w:themeShade="BF"/>
                <w:sz w:val="20"/>
                <w:szCs w:val="20"/>
                <w:lang w:val="es-MX"/>
              </w:rPr>
            </w:pPr>
          </w:p>
          <w:p w14:paraId="2725E7B1" w14:textId="77777777" w:rsidR="006850A7" w:rsidRPr="005540E0" w:rsidRDefault="006850A7" w:rsidP="006850A7">
            <w:pPr>
              <w:spacing w:line="0" w:lineRule="atLeast"/>
              <w:jc w:val="both"/>
              <w:rPr>
                <w:rFonts w:ascii="Times" w:hAnsi="Times" w:cs="Times New Roman"/>
                <w:color w:val="BFBFBF" w:themeColor="background1" w:themeShade="BF"/>
                <w:sz w:val="20"/>
                <w:szCs w:val="20"/>
                <w:lang w:val="es-MX"/>
              </w:rPr>
            </w:pPr>
            <w:r w:rsidRPr="005540E0">
              <w:rPr>
                <w:rFonts w:ascii="Arial" w:hAnsi="Arial" w:cs="Arial"/>
                <w:color w:val="BFBFBF" w:themeColor="background1" w:themeShade="BF"/>
                <w:sz w:val="20"/>
                <w:szCs w:val="20"/>
                <w:lang w:val="es-MX"/>
              </w:rPr>
              <w:t>Ejemplo: Derecho a la propiedad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36352F" w14:textId="77777777" w:rsidR="006850A7" w:rsidRPr="005540E0" w:rsidRDefault="006850A7" w:rsidP="006850A7">
            <w:pPr>
              <w:spacing w:line="0" w:lineRule="atLeast"/>
              <w:jc w:val="both"/>
              <w:rPr>
                <w:rFonts w:ascii="Times" w:hAnsi="Times" w:cs="Times New Roman"/>
                <w:color w:val="BFBFBF" w:themeColor="background1" w:themeShade="BF"/>
                <w:sz w:val="20"/>
                <w:szCs w:val="20"/>
                <w:lang w:val="es-MX"/>
              </w:rPr>
            </w:pPr>
            <w:r w:rsidRPr="005540E0">
              <w:rPr>
                <w:rFonts w:ascii="Arial" w:hAnsi="Arial" w:cs="Arial"/>
                <w:color w:val="BFBFBF" w:themeColor="background1" w:themeShade="BF"/>
                <w:sz w:val="20"/>
                <w:szCs w:val="20"/>
                <w:lang w:val="es-MX"/>
              </w:rPr>
              <w:t>Estos derechos están en conflicto pues, conforme a los hechos del caso a Juana se le impidió salir de su casa al no haber cumplido con las obligaciones del derecho de tequio...</w:t>
            </w:r>
          </w:p>
        </w:tc>
      </w:tr>
      <w:tr w:rsidR="006850A7" w:rsidRPr="00EE3D8E" w14:paraId="5F819612" w14:textId="77777777" w:rsidTr="00CE2B03">
        <w:tc>
          <w:tcPr>
            <w:tcW w:w="0" w:type="auto"/>
            <w:tcBorders>
              <w:top w:val="single" w:sz="6" w:space="0" w:color="000000"/>
              <w:left w:val="single" w:sz="6" w:space="0" w:color="000000"/>
              <w:bottom w:val="single" w:sz="6" w:space="0" w:color="000000"/>
              <w:right w:val="single" w:sz="6" w:space="0" w:color="000000"/>
            </w:tcBorders>
            <w:shd w:val="clear" w:color="auto" w:fill="228693"/>
            <w:tcMar>
              <w:top w:w="105" w:type="dxa"/>
              <w:left w:w="105" w:type="dxa"/>
              <w:bottom w:w="105" w:type="dxa"/>
              <w:right w:w="105" w:type="dxa"/>
            </w:tcMar>
            <w:hideMark/>
          </w:tcPr>
          <w:p w14:paraId="3733EE40" w14:textId="77777777" w:rsidR="006850A7" w:rsidRPr="005540E0" w:rsidRDefault="006850A7" w:rsidP="006850A7">
            <w:pPr>
              <w:jc w:val="center"/>
              <w:textAlignment w:val="baseline"/>
              <w:rPr>
                <w:rFonts w:ascii="Arial" w:hAnsi="Arial" w:cs="Arial"/>
                <w:b/>
                <w:color w:val="000000"/>
                <w:sz w:val="20"/>
                <w:szCs w:val="20"/>
                <w:lang w:val="es-MX"/>
              </w:rPr>
            </w:pPr>
            <w:r w:rsidRPr="005540E0">
              <w:rPr>
                <w:rFonts w:ascii="Arial" w:hAnsi="Arial" w:cs="Arial"/>
                <w:b/>
                <w:color w:val="000000"/>
                <w:sz w:val="20"/>
                <w:szCs w:val="20"/>
                <w:lang w:val="es-MX"/>
              </w:rPr>
              <w:t>Derecho aplicable</w:t>
            </w:r>
          </w:p>
          <w:p w14:paraId="5E47E7C3" w14:textId="77777777" w:rsidR="006850A7" w:rsidRPr="005540E0" w:rsidRDefault="006850A7" w:rsidP="006850A7">
            <w:pPr>
              <w:spacing w:line="0" w:lineRule="atLeast"/>
              <w:jc w:val="center"/>
              <w:rPr>
                <w:rFonts w:ascii="Times" w:hAnsi="Times" w:cs="Times New Roman"/>
                <w:b/>
                <w:sz w:val="20"/>
                <w:szCs w:val="20"/>
                <w:lang w:val="es-MX"/>
              </w:rPr>
            </w:pPr>
            <w:r w:rsidRPr="005540E0">
              <w:rPr>
                <w:rFonts w:ascii="Arial" w:hAnsi="Arial" w:cs="Arial"/>
                <w:b/>
                <w:color w:val="000000"/>
                <w:sz w:val="20"/>
                <w:szCs w:val="20"/>
                <w:lang w:val="es-MX"/>
              </w:rPr>
              <w:t>(fundamentación)</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30DDE" w14:textId="77777777" w:rsidR="006850A7" w:rsidRPr="005540E0" w:rsidRDefault="006850A7" w:rsidP="006850A7">
            <w:pPr>
              <w:jc w:val="both"/>
              <w:rPr>
                <w:rFonts w:ascii="Times" w:hAnsi="Times" w:cs="Times New Roman"/>
                <w:color w:val="BFBFBF" w:themeColor="background1" w:themeShade="BF"/>
                <w:sz w:val="20"/>
                <w:szCs w:val="20"/>
                <w:lang w:val="es-MX"/>
              </w:rPr>
            </w:pPr>
            <w:r w:rsidRPr="005540E0">
              <w:rPr>
                <w:rFonts w:ascii="Arial" w:hAnsi="Arial" w:cs="Arial"/>
                <w:color w:val="BFBFBF" w:themeColor="background1" w:themeShade="BF"/>
                <w:sz w:val="20"/>
                <w:szCs w:val="20"/>
                <w:lang w:val="es-MX"/>
              </w:rPr>
              <w:t xml:space="preserve">Ejemplo: </w:t>
            </w:r>
          </w:p>
          <w:p w14:paraId="2F87B1F3" w14:textId="77777777" w:rsidR="006850A7" w:rsidRPr="005540E0" w:rsidRDefault="006850A7" w:rsidP="006850A7">
            <w:pPr>
              <w:jc w:val="both"/>
              <w:rPr>
                <w:rFonts w:ascii="Times" w:eastAsia="Times New Roman" w:hAnsi="Times" w:cs="Times New Roman"/>
                <w:color w:val="BFBFBF" w:themeColor="background1" w:themeShade="BF"/>
                <w:sz w:val="20"/>
                <w:szCs w:val="20"/>
                <w:lang w:val="es-MX"/>
              </w:rPr>
            </w:pPr>
          </w:p>
          <w:p w14:paraId="03C288E1" w14:textId="77777777" w:rsidR="006850A7" w:rsidRPr="005540E0" w:rsidRDefault="006850A7" w:rsidP="006850A7">
            <w:pPr>
              <w:jc w:val="both"/>
              <w:rPr>
                <w:rFonts w:ascii="Times" w:hAnsi="Times" w:cs="Times New Roman"/>
                <w:color w:val="BFBFBF" w:themeColor="background1" w:themeShade="BF"/>
                <w:sz w:val="20"/>
                <w:szCs w:val="20"/>
                <w:lang w:val="es-MX"/>
              </w:rPr>
            </w:pPr>
            <w:r w:rsidRPr="005540E0">
              <w:rPr>
                <w:rFonts w:ascii="Arial" w:hAnsi="Arial" w:cs="Arial"/>
                <w:color w:val="BFBFBF" w:themeColor="background1" w:themeShade="BF"/>
                <w:sz w:val="20"/>
                <w:szCs w:val="20"/>
                <w:lang w:val="es-MX"/>
              </w:rPr>
              <w:t>Artículo 7 Convención Americana sobre Derechos Humanos, sobre libertad personal.</w:t>
            </w:r>
          </w:p>
          <w:p w14:paraId="5909CBCB" w14:textId="77777777" w:rsidR="006850A7" w:rsidRPr="005540E0" w:rsidRDefault="006850A7" w:rsidP="006850A7">
            <w:pPr>
              <w:jc w:val="both"/>
              <w:rPr>
                <w:rFonts w:ascii="Times" w:eastAsia="Times New Roman" w:hAnsi="Times" w:cs="Times New Roman"/>
                <w:color w:val="BFBFBF" w:themeColor="background1" w:themeShade="BF"/>
                <w:sz w:val="20"/>
                <w:szCs w:val="20"/>
                <w:lang w:val="es-MX"/>
              </w:rPr>
            </w:pPr>
          </w:p>
          <w:p w14:paraId="67DC2374" w14:textId="77777777" w:rsidR="006850A7" w:rsidRDefault="006850A7" w:rsidP="006850A7">
            <w:pPr>
              <w:jc w:val="both"/>
              <w:rPr>
                <w:rFonts w:ascii="Arial" w:hAnsi="Arial" w:cs="Arial"/>
                <w:color w:val="BFBFBF" w:themeColor="background1" w:themeShade="BF"/>
                <w:sz w:val="20"/>
                <w:szCs w:val="20"/>
                <w:lang w:val="es-MX"/>
              </w:rPr>
            </w:pPr>
            <w:r w:rsidRPr="005540E0">
              <w:rPr>
                <w:rFonts w:ascii="Arial" w:hAnsi="Arial" w:cs="Arial"/>
                <w:color w:val="BFBFBF" w:themeColor="background1" w:themeShade="BF"/>
                <w:sz w:val="20"/>
                <w:szCs w:val="20"/>
                <w:lang w:val="es-MX"/>
              </w:rPr>
              <w:t>Artículo … del Convenio 169 OIT qu</w:t>
            </w:r>
            <w:r>
              <w:rPr>
                <w:rFonts w:ascii="Arial" w:hAnsi="Arial" w:cs="Arial"/>
                <w:color w:val="BFBFBF" w:themeColor="background1" w:themeShade="BF"/>
                <w:sz w:val="20"/>
                <w:szCs w:val="20"/>
                <w:lang w:val="es-MX"/>
              </w:rPr>
              <w:t>e se refiere a usos y costumbres</w:t>
            </w:r>
            <w:r w:rsidRPr="005540E0">
              <w:rPr>
                <w:rFonts w:ascii="Arial" w:hAnsi="Arial" w:cs="Arial"/>
                <w:color w:val="BFBFBF" w:themeColor="background1" w:themeShade="BF"/>
                <w:sz w:val="20"/>
                <w:szCs w:val="20"/>
                <w:lang w:val="es-MX"/>
              </w:rPr>
              <w:t>.</w:t>
            </w:r>
          </w:p>
          <w:p w14:paraId="03490AE3" w14:textId="77777777" w:rsidR="006850A7" w:rsidRPr="005540E0" w:rsidRDefault="006850A7" w:rsidP="006850A7">
            <w:pPr>
              <w:jc w:val="both"/>
              <w:rPr>
                <w:rFonts w:ascii="Times" w:eastAsia="Times New Roman" w:hAnsi="Times" w:cs="Times New Roman"/>
                <w:color w:val="BFBFBF" w:themeColor="background1" w:themeShade="BF"/>
                <w:sz w:val="20"/>
                <w:szCs w:val="20"/>
                <w:lang w:val="es-MX"/>
              </w:rPr>
            </w:pPr>
          </w:p>
          <w:p w14:paraId="24334F9A" w14:textId="77777777" w:rsidR="006850A7" w:rsidRPr="005540E0" w:rsidRDefault="006850A7" w:rsidP="006850A7">
            <w:pPr>
              <w:spacing w:line="0" w:lineRule="atLeast"/>
              <w:jc w:val="both"/>
              <w:rPr>
                <w:rFonts w:ascii="Times" w:hAnsi="Times" w:cs="Times New Roman"/>
                <w:color w:val="BFBFBF" w:themeColor="background1" w:themeShade="BF"/>
                <w:sz w:val="20"/>
                <w:szCs w:val="20"/>
                <w:lang w:val="es-MX"/>
              </w:rPr>
            </w:pPr>
            <w:r w:rsidRPr="005540E0">
              <w:rPr>
                <w:rFonts w:ascii="Arial" w:hAnsi="Arial" w:cs="Arial"/>
                <w:color w:val="BFBFBF" w:themeColor="background1" w:themeShade="BF"/>
                <w:sz w:val="20"/>
                <w:szCs w:val="20"/>
                <w:lang w:val="es-MX"/>
              </w:rPr>
              <w:t>En algunas comunidades la libertad de tránsito se ha limitado en casos similares por las siguientes razones...</w:t>
            </w:r>
          </w:p>
        </w:tc>
      </w:tr>
    </w:tbl>
    <w:p w14:paraId="09671A31" w14:textId="77777777" w:rsidR="006850A7" w:rsidRPr="00EE3D8E" w:rsidRDefault="006850A7" w:rsidP="006850A7">
      <w:pPr>
        <w:jc w:val="both"/>
        <w:rPr>
          <w:rFonts w:ascii="Times" w:eastAsia="Times New Roman" w:hAnsi="Times" w:cs="Times New Roman"/>
          <w:sz w:val="20"/>
          <w:szCs w:val="20"/>
          <w:lang w:val="es-MX"/>
        </w:rPr>
      </w:pPr>
    </w:p>
    <w:p w14:paraId="5364819F" w14:textId="77777777" w:rsidR="006850A7" w:rsidRDefault="006850A7" w:rsidP="006850A7">
      <w:pPr>
        <w:spacing w:after="240"/>
        <w:jc w:val="both"/>
        <w:rPr>
          <w:rFonts w:ascii="Arial" w:hAnsi="Arial" w:cs="Arial"/>
          <w:color w:val="000000"/>
          <w:sz w:val="20"/>
          <w:szCs w:val="20"/>
          <w:lang w:val="es-MX"/>
        </w:rPr>
      </w:pPr>
      <w:r w:rsidRPr="005540E0">
        <w:rPr>
          <w:rFonts w:ascii="Arial" w:hAnsi="Arial" w:cs="Arial"/>
          <w:b/>
          <w:color w:val="000000"/>
          <w:sz w:val="20"/>
          <w:szCs w:val="20"/>
          <w:lang w:val="es-MX"/>
        </w:rPr>
        <w:t>IMPORTANTE</w:t>
      </w:r>
      <w:r>
        <w:rPr>
          <w:rFonts w:ascii="Arial" w:hAnsi="Arial" w:cs="Arial"/>
          <w:color w:val="000000"/>
          <w:sz w:val="20"/>
          <w:szCs w:val="20"/>
          <w:lang w:val="es-MX"/>
        </w:rPr>
        <w:t>: e</w:t>
      </w:r>
      <w:r w:rsidRPr="00EE3D8E">
        <w:rPr>
          <w:rFonts w:ascii="Arial" w:hAnsi="Arial" w:cs="Arial"/>
          <w:color w:val="000000"/>
          <w:sz w:val="20"/>
          <w:szCs w:val="20"/>
          <w:lang w:val="es-MX"/>
        </w:rPr>
        <w:t xml:space="preserve">ste ejercicio </w:t>
      </w:r>
      <w:r>
        <w:rPr>
          <w:rFonts w:ascii="Arial" w:hAnsi="Arial" w:cs="Arial"/>
          <w:color w:val="000000"/>
          <w:sz w:val="20"/>
          <w:szCs w:val="20"/>
          <w:lang w:val="es-MX"/>
        </w:rPr>
        <w:t>busca ejercitar</w:t>
      </w:r>
      <w:r w:rsidRPr="00EE3D8E">
        <w:rPr>
          <w:rFonts w:ascii="Arial" w:hAnsi="Arial" w:cs="Arial"/>
          <w:color w:val="000000"/>
          <w:sz w:val="20"/>
          <w:szCs w:val="20"/>
          <w:lang w:val="es-MX"/>
        </w:rPr>
        <w:t xml:space="preserve"> la sistematización de la información normativa sobre el caso, por lo tanto, no pres</w:t>
      </w:r>
      <w:r>
        <w:rPr>
          <w:rFonts w:ascii="Arial" w:hAnsi="Arial" w:cs="Arial"/>
          <w:color w:val="000000"/>
          <w:sz w:val="20"/>
          <w:szCs w:val="20"/>
          <w:lang w:val="es-MX"/>
        </w:rPr>
        <w:t>ume respecto a la solución que u</w:t>
      </w:r>
      <w:r w:rsidRPr="00EE3D8E">
        <w:rPr>
          <w:rFonts w:ascii="Arial" w:hAnsi="Arial" w:cs="Arial"/>
          <w:color w:val="000000"/>
          <w:sz w:val="20"/>
          <w:szCs w:val="20"/>
          <w:lang w:val="es-MX"/>
        </w:rPr>
        <w:t>sted dará al mismo.</w:t>
      </w:r>
    </w:p>
    <w:p w14:paraId="51CD96F7" w14:textId="77777777" w:rsidR="006850A7" w:rsidRDefault="006850A7" w:rsidP="006850A7">
      <w:pPr>
        <w:jc w:val="both"/>
        <w:rPr>
          <w:rFonts w:ascii="Times" w:eastAsia="Times New Roman" w:hAnsi="Times" w:cs="Times New Roman"/>
          <w:sz w:val="20"/>
          <w:szCs w:val="20"/>
          <w:lang w:val="es-MX"/>
        </w:rPr>
      </w:pPr>
    </w:p>
    <w:p w14:paraId="57255247" w14:textId="77777777" w:rsidR="006850A7" w:rsidRDefault="006850A7" w:rsidP="006850A7">
      <w:pPr>
        <w:jc w:val="both"/>
        <w:rPr>
          <w:rFonts w:ascii="Times" w:eastAsia="Times New Roman" w:hAnsi="Times" w:cs="Times New Roman"/>
          <w:sz w:val="20"/>
          <w:szCs w:val="20"/>
          <w:lang w:val="es-MX"/>
        </w:rPr>
      </w:pPr>
    </w:p>
    <w:p w14:paraId="4DD251BF" w14:textId="77777777" w:rsidR="00493A9C" w:rsidRDefault="00493A9C"/>
    <w:sectPr w:rsidR="00493A9C" w:rsidSect="00493A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46E"/>
    <w:multiLevelType w:val="multilevel"/>
    <w:tmpl w:val="7D8AB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A719B"/>
    <w:multiLevelType w:val="hybridMultilevel"/>
    <w:tmpl w:val="3E38417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7F6F6F"/>
    <w:multiLevelType w:val="hybridMultilevel"/>
    <w:tmpl w:val="C89EFA9E"/>
    <w:lvl w:ilvl="0" w:tplc="D5523C6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3E0E66"/>
    <w:multiLevelType w:val="hybridMultilevel"/>
    <w:tmpl w:val="78942EE6"/>
    <w:lvl w:ilvl="0" w:tplc="21F2981A">
      <w:start w:val="2"/>
      <w:numFmt w:val="lowerLetter"/>
      <w:lvlText w:val="%1."/>
      <w:lvlJc w:val="left"/>
      <w:pPr>
        <w:tabs>
          <w:tab w:val="num" w:pos="720"/>
        </w:tabs>
        <w:ind w:left="720" w:hanging="360"/>
      </w:pPr>
    </w:lvl>
    <w:lvl w:ilvl="1" w:tplc="0C0A0001">
      <w:start w:val="1"/>
      <w:numFmt w:val="bullet"/>
      <w:lvlText w:val=""/>
      <w:lvlJc w:val="left"/>
      <w:pPr>
        <w:ind w:left="1080" w:hanging="360"/>
      </w:pPr>
      <w:rPr>
        <w:rFonts w:ascii="Symbol" w:hAnsi="Symbol" w:hint="default"/>
      </w:rPr>
    </w:lvl>
    <w:lvl w:ilvl="2" w:tplc="9EAC98F6">
      <w:start w:val="1"/>
      <w:numFmt w:val="decimal"/>
      <w:lvlText w:val="%3."/>
      <w:lvlJc w:val="left"/>
      <w:pPr>
        <w:ind w:left="2160" w:hanging="360"/>
      </w:pPr>
      <w:rPr>
        <w:rFonts w:hint="default"/>
        <w:b/>
      </w:rPr>
    </w:lvl>
    <w:lvl w:ilvl="3" w:tplc="E2126BB0" w:tentative="1">
      <w:start w:val="1"/>
      <w:numFmt w:val="decimal"/>
      <w:lvlText w:val="%4."/>
      <w:lvlJc w:val="left"/>
      <w:pPr>
        <w:tabs>
          <w:tab w:val="num" w:pos="2880"/>
        </w:tabs>
        <w:ind w:left="2880" w:hanging="360"/>
      </w:pPr>
    </w:lvl>
    <w:lvl w:ilvl="4" w:tplc="A2786A44" w:tentative="1">
      <w:start w:val="1"/>
      <w:numFmt w:val="decimal"/>
      <w:lvlText w:val="%5."/>
      <w:lvlJc w:val="left"/>
      <w:pPr>
        <w:tabs>
          <w:tab w:val="num" w:pos="3600"/>
        </w:tabs>
        <w:ind w:left="3600" w:hanging="360"/>
      </w:pPr>
    </w:lvl>
    <w:lvl w:ilvl="5" w:tplc="4E441F2A" w:tentative="1">
      <w:start w:val="1"/>
      <w:numFmt w:val="decimal"/>
      <w:lvlText w:val="%6."/>
      <w:lvlJc w:val="left"/>
      <w:pPr>
        <w:tabs>
          <w:tab w:val="num" w:pos="4320"/>
        </w:tabs>
        <w:ind w:left="4320" w:hanging="360"/>
      </w:pPr>
    </w:lvl>
    <w:lvl w:ilvl="6" w:tplc="CFCAF754" w:tentative="1">
      <w:start w:val="1"/>
      <w:numFmt w:val="decimal"/>
      <w:lvlText w:val="%7."/>
      <w:lvlJc w:val="left"/>
      <w:pPr>
        <w:tabs>
          <w:tab w:val="num" w:pos="5040"/>
        </w:tabs>
        <w:ind w:left="5040" w:hanging="360"/>
      </w:pPr>
    </w:lvl>
    <w:lvl w:ilvl="7" w:tplc="15001A62" w:tentative="1">
      <w:start w:val="1"/>
      <w:numFmt w:val="decimal"/>
      <w:lvlText w:val="%8."/>
      <w:lvlJc w:val="left"/>
      <w:pPr>
        <w:tabs>
          <w:tab w:val="num" w:pos="5760"/>
        </w:tabs>
        <w:ind w:left="5760" w:hanging="360"/>
      </w:pPr>
    </w:lvl>
    <w:lvl w:ilvl="8" w:tplc="7F02DC0E" w:tentative="1">
      <w:start w:val="1"/>
      <w:numFmt w:val="decimal"/>
      <w:lvlText w:val="%9."/>
      <w:lvlJc w:val="left"/>
      <w:pPr>
        <w:tabs>
          <w:tab w:val="num" w:pos="6480"/>
        </w:tabs>
        <w:ind w:left="6480" w:hanging="360"/>
      </w:pPr>
    </w:lvl>
  </w:abstractNum>
  <w:abstractNum w:abstractNumId="4">
    <w:nsid w:val="72544878"/>
    <w:multiLevelType w:val="hybridMultilevel"/>
    <w:tmpl w:val="3272BD2A"/>
    <w:lvl w:ilvl="0" w:tplc="141855D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lvlOverride w:ilvl="0">
      <w:lvl w:ilvl="0">
        <w:numFmt w:val="lowerLetter"/>
        <w:lvlText w:val="%1."/>
        <w:lvlJc w:val="left"/>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A7"/>
    <w:rsid w:val="00493A9C"/>
    <w:rsid w:val="006850A7"/>
    <w:rsid w:val="00926171"/>
    <w:rsid w:val="00CE2B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370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A7"/>
    <w:pPr>
      <w:ind w:left="720"/>
      <w:contextualSpacing/>
    </w:pPr>
  </w:style>
  <w:style w:type="paragraph" w:styleId="BalloonText">
    <w:name w:val="Balloon Text"/>
    <w:basedOn w:val="Normal"/>
    <w:link w:val="BalloonTextChar"/>
    <w:uiPriority w:val="99"/>
    <w:semiHidden/>
    <w:unhideWhenUsed/>
    <w:rsid w:val="00CE2B03"/>
    <w:rPr>
      <w:rFonts w:ascii="Lucida Grande" w:hAnsi="Lucida Grande"/>
      <w:sz w:val="18"/>
      <w:szCs w:val="18"/>
    </w:rPr>
  </w:style>
  <w:style w:type="character" w:customStyle="1" w:styleId="BalloonTextChar">
    <w:name w:val="Balloon Text Char"/>
    <w:basedOn w:val="DefaultParagraphFont"/>
    <w:link w:val="BalloonText"/>
    <w:uiPriority w:val="99"/>
    <w:semiHidden/>
    <w:rsid w:val="00CE2B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A7"/>
    <w:pPr>
      <w:ind w:left="720"/>
      <w:contextualSpacing/>
    </w:pPr>
  </w:style>
  <w:style w:type="paragraph" w:styleId="BalloonText">
    <w:name w:val="Balloon Text"/>
    <w:basedOn w:val="Normal"/>
    <w:link w:val="BalloonTextChar"/>
    <w:uiPriority w:val="99"/>
    <w:semiHidden/>
    <w:unhideWhenUsed/>
    <w:rsid w:val="00CE2B03"/>
    <w:rPr>
      <w:rFonts w:ascii="Lucida Grande" w:hAnsi="Lucida Grande"/>
      <w:sz w:val="18"/>
      <w:szCs w:val="18"/>
    </w:rPr>
  </w:style>
  <w:style w:type="character" w:customStyle="1" w:styleId="BalloonTextChar">
    <w:name w:val="Balloon Text Char"/>
    <w:basedOn w:val="DefaultParagraphFont"/>
    <w:link w:val="BalloonText"/>
    <w:uiPriority w:val="99"/>
    <w:semiHidden/>
    <w:rsid w:val="00CE2B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7099-6047-F048-8021-97D10161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412</Words>
  <Characters>2352</Characters>
  <Application>Microsoft Macintosh Word</Application>
  <DocSecurity>0</DocSecurity>
  <Lines>19</Lines>
  <Paragraphs>5</Paragraphs>
  <ScaleCrop>false</ScaleCrop>
  <Company>inmujeres</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Isabel Niño Zarazua</dc:creator>
  <cp:keywords/>
  <dc:description/>
  <cp:lastModifiedBy>r r</cp:lastModifiedBy>
  <cp:revision>2</cp:revision>
  <dcterms:created xsi:type="dcterms:W3CDTF">2014-10-29T17:55:00Z</dcterms:created>
  <dcterms:modified xsi:type="dcterms:W3CDTF">2014-10-30T20:19:00Z</dcterms:modified>
</cp:coreProperties>
</file>